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A428D6" w14:textId="77777777" w:rsidR="00342805" w:rsidRPr="00A064EB" w:rsidRDefault="00342805" w:rsidP="00A064EB"/>
    <w:p>
      <w:pPr>
        <w:pStyle w:val="Titel"/>
      </w:pPr>
      <w:r>
        <w:rPr>
          <w:color w:val="000000"/>
          <w:highlight w:val="yellow"/>
        </w:rPr>
        <w:t>{Documentnaam}</w:t>
      </w:r>
    </w:p>
    <w:p>
      <w:r>
        <w:rPr>
          <w:b/>
          <w:color w:val="000000"/>
          <w:highlight w:val="yellow"/>
        </w:rPr>
        <w:t>{Projectnaam}</w:t>
      </w:r>
    </w:p>
    <w:p/>
    <w:p>
      <w:r>
        <w:t xml:space="preserve">Rubriceringsniveau </w:t>
      </w:r>
      <w:r>
        <w:rPr>
          <w:color w:val="000000"/>
          <w:highlight w:val="yellow"/>
        </w:rPr>
        <w:t>{Rubriceringsniveau}</w:t>
      </w:r>
    </w:p>
    <w:p>
      <w:r>
        <w:t xml:space="preserve">Versie </w:t>
      </w:r>
      <w:r>
        <w:rPr>
          <w:color w:val="000000"/>
          <w:highlight w:val="yellow"/>
        </w:rPr>
        <w:t>{Versienummer}</w:t>
      </w:r>
      <w:r>
        <w:t xml:space="preserve">, </w:t>
      </w:r>
      <w:r>
        <w:rPr>
          <w:color w:val="000000"/>
          <w:highlight w:val="yellow"/>
        </w:rPr>
        <w:t>{Datum}</w:t>
      </w:r>
    </w:p>
    <w:p/>
    <w:p>
      <w:r>
        <w:br w:type="page"/>
      </w:r>
    </w:p>
    <w:p>
      <w:pPr>
        <w:pStyle w:val="Kopvaninhoudsopgave"/>
      </w:pPr>
      <w:r>
        <w:t>Inhoudsopgave</w:t>
      </w:r>
    </w:p>
    <w:p>
      <w:r>
        <w:fldChar w:fldCharType="begin"/>
        <w:instrText xml:space="preserve">TOC \o "1-3" \h \z \u</w:instrText>
        <w:fldChar w:fldCharType="separate">
          <w:t>Right-click to update field.</w:t>
        </w:fldChar>
        <w:fldChar w:fldCharType="end"/>
      </w:r>
    </w:p>
    <w:p>
      <w:r>
        <w:br w:type="page"/>
      </w:r>
    </w:p>
    <w:p>
      <w:pPr>
        <w:pStyle w:val="Kop5"/>
      </w:pPr>
      <w:r>
        <w:t>Colofon</w:t>
      </w:r>
    </w:p>
    <w:p>
      <w:pPr>
        <w:pStyle w:val="Kop6"/>
      </w:pPr>
      <w:r>
        <w:t>Rubricering</w:t>
      </w:r>
    </w:p>
    <w:p>
      <w:r>
        <w:t xml:space="preserve">Rubricering conform </w:t>
      </w:r>
      <w:hyperlink r:id="rId12">
        <w:r>
          <w:rPr>
            <w:rStyle w:val="Hyperlink"/>
          </w:rPr>
          <w:t>VIRBI 2013, art. 4</w:t>
        </w:r>
      </w:hyperlink>
      <w:r>
        <w:t>.</w:t>
      </w:r>
    </w:p>
    <w:p>
      <w:r>
        <w:rPr>
          <w:color w:val="000000"/>
          <w:highlight w:val="yellow"/>
        </w:rPr>
        <w:t>{Verwijder deze paragraaf en de rubricering op de titelpagina als rubricering niet van toepassing is}</w:t>
      </w:r>
    </w:p>
    <w:tbl>
      <w:tblPr>
        <w:tblStyle w:val="Tabelraster1"/>
        <w:tblW w:type="pct" w:w="100%"/>
        <w:tblLook w:firstColumn="1" w:firstRow="1" w:lastColumn="0" w:lastRow="0" w:noHBand="0" w:noVBand="1" w:val="04A0"/>
      </w:tblPr>
      <w:tblGrid>
        <w:gridCol w:w="3023"/>
        <w:gridCol w:w="3023"/>
        <w:gridCol w:w="3023"/>
      </w:tblGrid>
      <w:tr>
        <w:tc>
          <w:tcPr>
            <w:tcW w:type="auto" w:w="3023"/>
          </w:tcPr>
          <w:p>
            <w:pPr>
              <w:jc w:val="left"/>
            </w:pPr>
            <w:r>
              <w:t>Rubriceringsniveau</w:t>
            </w:r>
          </w:p>
        </w:tc>
        <w:tc>
          <w:tcPr>
            <w:tcW w:type="auto" w:w="3023"/>
          </w:tcPr>
          <w:p>
            <w:pPr>
              <w:jc w:val="left"/>
            </w:pPr>
            <w:r>
              <w:t>Rubriceringsduur</w:t>
            </w:r>
          </w:p>
        </w:tc>
        <w:tc>
          <w:tcPr>
            <w:tcW w:type="auto" w:w="3023"/>
          </w:tcPr>
          <w:p>
            <w:pPr>
              <w:jc w:val="left"/>
            </w:pPr>
            <w:r>
              <w:t>Vaststeller</w:t>
            </w:r>
          </w:p>
        </w:tc>
      </w:tr>
      <w:tr>
        <w:tc>
          <w:tcPr>
            <w:tcW w:type="auto" w:w="3023"/>
          </w:tcPr>
          <w:p>
            <w:pPr>
              <w:jc w:val="left"/>
            </w:pPr>
            <w:r>
              <w:rPr>
                <w:color w:val="000000"/>
                <w:highlight w:val="yellow"/>
              </w:rPr>
              <w:t>{Rubriceringsniveau}</w:t>
            </w:r>
          </w:p>
        </w:tc>
        <w:tc>
          <w:tcPr>
            <w:tcW w:type="auto" w:w="3023"/>
          </w:tcPr>
          <w:p>
            <w:pPr>
              <w:jc w:val="left"/>
            </w:pPr>
            <w:r>
              <w:rPr>
                <w:color w:val="000000"/>
                <w:highlight w:val="yellow"/>
              </w:rPr>
              <w:t>{Rubriceringsduur}</w:t>
            </w:r>
          </w:p>
        </w:tc>
        <w:tc>
          <w:tcPr>
            <w:tcW w:type="auto" w:w="3023"/>
          </w:tcPr>
          <w:p>
            <w:pPr>
              <w:jc w:val="left"/>
            </w:pPr>
            <w:r>
              <w:rPr>
                <w:color w:val="000000"/>
                <w:highlight w:val="yellow"/>
              </w:rPr>
              <w:t>{Vaststeller van de rubricering: minister, staatssecretaris, secretaris-generaal of een door de secretaris-generaal aangewezen rubriceringsambtenaar}</w:t>
            </w:r>
          </w:p>
        </w:tc>
      </w:tr>
    </w:tbl>
    <w:p>
      <w:pPr>
        <w:pStyle w:val="Kop6"/>
      </w:pPr>
      <w:r>
        <w:t>Goedkeuring</w:t>
      </w:r>
    </w:p>
    <w:tbl>
      <w:tblPr>
        <w:tblStyle w:val="Tabelraster1"/>
        <w:tblW w:type="pct" w:w="100%"/>
        <w:tblLook w:firstColumn="1" w:firstRow="1" w:lastColumn="0" w:lastRow="0" w:noHBand="0" w:noVBand="1" w:val="04A0"/>
      </w:tblPr>
      <w:tblGrid>
        <w:gridCol w:w="3023"/>
        <w:gridCol w:w="3023"/>
        <w:gridCol w:w="3023"/>
      </w:tblGrid>
      <w:tr>
        <w:tc>
          <w:tcPr>
            <w:tcW w:type="auto" w:w="3023"/>
          </w:tcPr>
          <w:p>
            <w:pPr>
              <w:jc w:val="left"/>
            </w:pPr>
            <w:r>
              <w:t>Versie</w:t>
            </w:r>
          </w:p>
        </w:tc>
        <w:tc>
          <w:tcPr>
            <w:tcW w:type="auto" w:w="3023"/>
          </w:tcPr>
          <w:p>
            <w:pPr>
              <w:jc w:val="left"/>
            </w:pPr>
            <w:r>
              <w:t>Datum goedkeuring</w:t>
            </w:r>
          </w:p>
        </w:tc>
        <w:tc>
          <w:tcPr>
            <w:tcW w:type="auto" w:w="3023"/>
          </w:tcPr>
          <w:p>
            <w:pPr>
              <w:jc w:val="left"/>
            </w:pPr>
            <w:r>
              <w:t>Goedgekeurd door</w:t>
            </w:r>
          </w:p>
        </w:tc>
      </w:tr>
      <w:tr>
        <w:tc>
          <w:tcPr>
            <w:tcW w:type="auto" w:w="3023"/>
          </w:tcPr>
          <w:p>
            <w:pPr>
              <w:jc w:val="left"/>
            </w:pPr>
            <w:r>
              <w:rPr>
                <w:color w:val="000000"/>
                <w:highlight w:val="yellow"/>
              </w:rPr>
              <w:t>{versie}</w:t>
            </w:r>
          </w:p>
        </w:tc>
        <w:tc>
          <w:tcPr>
            <w:tcW w:type="auto" w:w="3023"/>
          </w:tcPr>
          <w:p>
            <w:pPr>
              <w:jc w:val="left"/>
            </w:pPr>
            <w:r>
              <w:rPr>
                <w:color w:val="000000"/>
                <w:highlight w:val="yellow"/>
              </w:rPr>
              <w:t>{datum}</w:t>
            </w:r>
          </w:p>
        </w:tc>
        <w:tc>
          <w:tcPr>
            <w:tcW w:type="auto" w:w="3023"/>
          </w:tcPr>
          <w:p>
            <w:pPr>
              <w:jc w:val="left"/>
            </w:pPr>
            <w:r>
              <w:rPr>
                <w:color w:val="000000"/>
                <w:highlight w:val="yellow"/>
              </w:rPr>
              <w:t>{naam}</w:t>
            </w:r>
          </w:p>
        </w:tc>
      </w:tr>
    </w:tbl>
    <w:p>
      <w:pPr>
        <w:pStyle w:val="Kop6"/>
      </w:pPr>
      <w:r>
        <w:t>Revisiehistorie</w:t>
      </w:r>
    </w:p>
    <w:tbl>
      <w:tblPr>
        <w:tblStyle w:val="Tabelraster1"/>
        <w:tblW w:type="pct" w:w="100%"/>
        <w:tblLook w:firstColumn="1" w:firstRow="1" w:lastColumn="0" w:lastRow="0" w:noHBand="0" w:noVBand="1" w:val="04A0"/>
      </w:tblPr>
      <w:tblGrid>
        <w:gridCol w:w="1512"/>
        <w:gridCol w:w="1512"/>
        <w:gridCol w:w="1512"/>
        <w:gridCol w:w="1512"/>
        <w:gridCol w:w="1512"/>
        <w:gridCol w:w="1512"/>
      </w:tblGrid>
      <w:tr>
        <w:tc>
          <w:tcPr>
            <w:tcW w:type="auto" w:w="1512"/>
          </w:tcPr>
          <w:p>
            <w:pPr>
              <w:jc w:val="left"/>
            </w:pPr>
            <w:r>
              <w:t>Versie</w:t>
            </w:r>
          </w:p>
        </w:tc>
        <w:tc>
          <w:tcPr>
            <w:tcW w:type="auto" w:w="1512"/>
          </w:tcPr>
          <w:p>
            <w:pPr>
              <w:jc w:val="left"/>
            </w:pPr>
            <w:r>
              <w:t>Datum</w:t>
            </w:r>
          </w:p>
        </w:tc>
        <w:tc>
          <w:tcPr>
            <w:tcW w:type="auto" w:w="1512"/>
          </w:tcPr>
          <w:p>
            <w:pPr>
              <w:jc w:val="left"/>
            </w:pPr>
            <w:r>
              <w:t>Status</w:t>
            </w:r>
          </w:p>
        </w:tc>
        <w:tc>
          <w:tcPr>
            <w:tcW w:type="auto" w:w="1512"/>
          </w:tcPr>
          <w:p>
            <w:pPr>
              <w:jc w:val="left"/>
            </w:pPr>
            <w:r>
              <w:t>Auteur</w:t>
            </w:r>
          </w:p>
        </w:tc>
        <w:tc>
          <w:tcPr>
            <w:tcW w:type="auto" w:w="1512"/>
          </w:tcPr>
          <w:p>
            <w:pPr>
              <w:jc w:val="left"/>
            </w:pPr>
            <w:r>
              <w:t>Reviewers</w:t>
            </w:r>
          </w:p>
        </w:tc>
        <w:tc>
          <w:tcPr>
            <w:tcW w:type="auto" w:w="1512"/>
          </w:tcPr>
          <w:p>
            <w:pPr>
              <w:jc w:val="left"/>
            </w:pPr>
            <w:r>
              <w:t>Opmerkingen</w:t>
            </w:r>
          </w:p>
        </w:tc>
      </w:tr>
      <w:tr>
        <w:tc>
          <w:tcPr>
            <w:tcW w:type="auto" w:w="1512"/>
          </w:tcPr>
          <w:p>
            <w:pPr>
              <w:jc w:val="left"/>
            </w:pPr>
            <w:r>
              <w:rPr>
                <w:color w:val="000000"/>
                <w:highlight w:val="yellow"/>
              </w:rPr>
              <w:t>{versie}</w:t>
            </w:r>
          </w:p>
        </w:tc>
        <w:tc>
          <w:tcPr>
            <w:tcW w:type="auto" w:w="1512"/>
          </w:tcPr>
          <w:p>
            <w:pPr>
              <w:jc w:val="left"/>
            </w:pPr>
            <w:r>
              <w:rPr>
                <w:color w:val="000000"/>
                <w:highlight w:val="yellow"/>
              </w:rPr>
              <w:t>{datum}</w:t>
            </w:r>
          </w:p>
        </w:tc>
        <w:tc>
          <w:tcPr>
            <w:tcW w:type="auto" w:w="1512"/>
          </w:tcPr>
          <w:p>
            <w:pPr>
              <w:jc w:val="left"/>
            </w:pPr>
            <w:r>
              <w:rPr>
                <w:color w:val="000000"/>
                <w:highlight w:val="yellow"/>
              </w:rPr>
              <w:t>{status}</w:t>
            </w:r>
          </w:p>
        </w:tc>
        <w:tc>
          <w:tcPr>
            <w:tcW w:type="auto" w:w="1512"/>
          </w:tcPr>
          <w:p>
            <w:pPr>
              <w:jc w:val="left"/>
            </w:pPr>
            <w:r>
              <w:rPr>
                <w:color w:val="000000"/>
                <w:highlight w:val="yellow"/>
              </w:rPr>
              <w:t>{naam}</w:t>
            </w:r>
          </w:p>
        </w:tc>
        <w:tc>
          <w:tcPr>
            <w:tcW w:type="auto" w:w="1512"/>
          </w:tcPr>
          <w:p>
            <w:pPr>
              <w:jc w:val="left"/>
            </w:pPr>
            <w:r>
              <w:rPr>
                <w:color w:val="000000"/>
                <w:highlight w:val="yellow"/>
              </w:rPr>
              <w:t>{namen}</w:t>
            </w:r>
          </w:p>
        </w:tc>
        <w:tc>
          <w:tcPr>
            <w:tcW w:type="auto" w:w="1512"/>
          </w:tcPr>
          <w:p>
            <w:pPr>
              <w:jc w:val="left"/>
            </w:pPr>
            <w:r>
              <w:rPr>
                <w:color w:val="000000"/>
                <w:highlight w:val="yellow"/>
              </w:rPr>
              <w:t>{opmerkingen}</w:t>
            </w:r>
          </w:p>
        </w:tc>
      </w:tr>
    </w:tbl>
    <w:p>
      <w:pPr>
        <w:pStyle w:val="Kop6"/>
      </w:pPr>
      <w:r>
        <w:t>Betrokkenen bij dit document</w:t>
      </w:r>
    </w:p>
    <w:p>
      <w:r>
        <w:rPr>
          <w:color w:val="000000"/>
          <w:highlight w:val="yellow"/>
        </w:rPr>
        <w:t>{Neem in onderstaande tabel de auteurs, reviewers en goedkeurders van dit document op}</w:t>
      </w:r>
    </w:p>
    <w:tbl>
      <w:tblPr>
        <w:tblStyle w:val="Tabelraster1"/>
        <w:tblW w:type="pct" w:w="100%"/>
        <w:tblLook w:firstColumn="1" w:firstRow="1" w:lastColumn="0" w:lastRow="0" w:noHBand="0" w:noVBand="1" w:val="04A0"/>
      </w:tblPr>
      <w:tblGrid>
        <w:gridCol w:w="3023"/>
        <w:gridCol w:w="3023"/>
        <w:gridCol w:w="3023"/>
      </w:tblGrid>
      <w:tr>
        <w:tc>
          <w:tcPr>
            <w:tcW w:type="auto" w:w="3023"/>
          </w:tcPr>
          <w:p>
            <w:pPr>
              <w:jc w:val="left"/>
            </w:pPr>
            <w:r>
              <w:t>Organisatie</w:t>
            </w:r>
          </w:p>
        </w:tc>
        <w:tc>
          <w:tcPr>
            <w:tcW w:type="auto" w:w="3023"/>
          </w:tcPr>
          <w:p>
            <w:pPr>
              <w:jc w:val="left"/>
            </w:pPr>
            <w:r>
              <w:t>Functie/rol</w:t>
            </w:r>
          </w:p>
        </w:tc>
        <w:tc>
          <w:tcPr>
            <w:tcW w:type="auto" w:w="3023"/>
          </w:tcPr>
          <w:p>
            <w:pPr>
              <w:jc w:val="left"/>
            </w:pPr>
            <w:r>
              <w:t>Naam</w:t>
            </w:r>
          </w:p>
        </w:tc>
      </w:tr>
      <w:tr>
        <w:tc>
          <w:tcPr>
            <w:tcW w:type="auto" w:w="3023"/>
          </w:tcPr>
          <w:p>
            <w:pPr>
              <w:jc w:val="left"/>
            </w:pPr>
            <w:r>
              <w:rPr>
                <w:color w:val="000000"/>
                <w:highlight w:val="yellow"/>
              </w:rPr>
              <w:t>{opdrachtgevende organisatie}</w:t>
            </w:r>
          </w:p>
        </w:tc>
        <w:tc>
          <w:tcPr>
            <w:tcW w:type="auto" w:w="3023"/>
          </w:tcPr>
          <w:p>
            <w:pPr>
              <w:jc w:val="left"/>
            </w:pPr>
            <w:r>
              <w:t>Opdrachtgever</w:t>
            </w:r>
          </w:p>
        </w:tc>
        <w:tc>
          <w:tcPr>
            <w:tcW w:type="auto" w:w="3023"/>
          </w:tcPr>
          <w:p>
            <w:pPr>
              <w:jc w:val="left"/>
            </w:pPr>
            <w:r>
              <w:rPr>
                <w:color w:val="000000"/>
                <w:highlight w:val="yellow"/>
              </w:rPr>
              <w:t>{naam}</w:t>
            </w:r>
          </w:p>
        </w:tc>
      </w:tr>
      <w:tr>
        <w:tc>
          <w:tcPr>
            <w:tcW w:type="auto" w:w="3023"/>
          </w:tcPr>
          <w:p>
            <w:pPr>
              <w:jc w:val="left"/>
            </w:pPr>
            <w:r>
              <w:rPr>
                <w:color w:val="000000"/>
                <w:highlight w:val="yellow"/>
              </w:rPr>
              <w:t>{opdrachtgevende organisatie}</w:t>
            </w:r>
          </w:p>
        </w:tc>
        <w:tc>
          <w:tcPr>
            <w:tcW w:type="auto" w:w="3023"/>
          </w:tcPr>
          <w:p>
            <w:pPr>
              <w:jc w:val="left"/>
            </w:pPr>
            <w:r>
              <w:t>Projectleider</w:t>
            </w:r>
          </w:p>
        </w:tc>
        <w:tc>
          <w:tcPr>
            <w:tcW w:type="auto" w:w="3023"/>
          </w:tcPr>
          <w:p>
            <w:pPr>
              <w:jc w:val="left"/>
            </w:pPr>
            <w:r>
              <w:rPr>
                <w:color w:val="000000"/>
                <w:highlight w:val="yellow"/>
              </w:rPr>
              <w:t>{naam}</w:t>
            </w:r>
          </w:p>
        </w:tc>
      </w:tr>
      <w:tr>
        <w:tc>
          <w:tcPr>
            <w:tcW w:type="auto" w:w="3023"/>
          </w:tcPr>
          <w:p>
            <w:pPr>
              <w:jc w:val="left"/>
            </w:pPr>
            <w:r>
              <w:rPr>
                <w:color w:val="000000"/>
                <w:highlight w:val="yellow"/>
              </w:rPr>
              <w:t>{opdrachtgevende organisatie}</w:t>
            </w:r>
          </w:p>
        </w:tc>
        <w:tc>
          <w:tcPr>
            <w:tcW w:type="auto" w:w="3023"/>
          </w:tcPr>
          <w:p>
            <w:pPr>
              <w:jc w:val="left"/>
            </w:pPr>
            <w:r>
              <w:t>Product owner</w:t>
            </w:r>
          </w:p>
        </w:tc>
        <w:tc>
          <w:tcPr>
            <w:tcW w:type="auto" w:w="3023"/>
          </w:tcPr>
          <w:p>
            <w:pPr>
              <w:jc w:val="left"/>
            </w:pPr>
            <w:r>
              <w:rPr>
                <w:color w:val="000000"/>
                <w:highlight w:val="yellow"/>
              </w:rPr>
              <w:t>{naam}</w:t>
            </w:r>
          </w:p>
        </w:tc>
      </w:tr>
      <w:tr>
        <w:tc>
          <w:tcPr>
            <w:tcW w:type="auto" w:w="3023"/>
          </w:tcPr>
          <w:p>
            <w:pPr>
              <w:jc w:val="left"/>
            </w:pPr>
            <w:r>
              <w:rPr>
                <w:color w:val="000000"/>
                <w:highlight w:val="yellow"/>
              </w:rPr>
              <w:t>{opdrachtgevende organisatie}</w:t>
            </w:r>
          </w:p>
        </w:tc>
        <w:tc>
          <w:tcPr>
            <w:tcW w:type="auto" w:w="3023"/>
          </w:tcPr>
          <w:p>
            <w:pPr>
              <w:jc w:val="left"/>
            </w:pPr>
            <w:r>
              <w:t>Kwaliteitsmanager</w:t>
            </w:r>
          </w:p>
        </w:tc>
        <w:tc>
          <w:tcPr>
            <w:tcW w:type="auto" w:w="3023"/>
          </w:tcPr>
          <w:p>
            <w:pPr>
              <w:jc w:val="left"/>
            </w:pPr>
            <w:r>
              <w:rPr>
                <w:color w:val="000000"/>
                <w:highlight w:val="yellow"/>
              </w:rPr>
              <w:t>{naam}</w:t>
            </w:r>
          </w:p>
        </w:tc>
      </w:tr>
      <w:tr>
        <w:tc>
          <w:tcPr>
            <w:tcW w:type="auto" w:w="3023"/>
          </w:tcPr>
          <w:p>
            <w:pPr>
              <w:jc w:val="left"/>
            </w:pPr>
            <w:r>
              <w:rPr>
                <w:color w:val="000000"/>
                <w:highlight w:val="yellow"/>
              </w:rPr>
              <w:t>{beheerorganisatie}</w:t>
            </w:r>
          </w:p>
        </w:tc>
        <w:tc>
          <w:tcPr>
            <w:tcW w:type="auto" w:w="3023"/>
          </w:tcPr>
          <w:p>
            <w:pPr>
              <w:jc w:val="left"/>
            </w:pPr>
            <w:r>
              <w:t>Projectleider</w:t>
            </w:r>
          </w:p>
        </w:tc>
        <w:tc>
          <w:tcPr>
            <w:tcW w:type="auto" w:w="3023"/>
          </w:tcPr>
          <w:p>
            <w:pPr>
              <w:jc w:val="left"/>
            </w:pPr>
            <w:r>
              <w:rPr>
                <w:color w:val="000000"/>
                <w:highlight w:val="yellow"/>
              </w:rPr>
              <w:t>{naam}</w:t>
            </w:r>
          </w:p>
        </w:tc>
      </w:tr>
      <w:tr>
        <w:tc>
          <w:tcPr>
            <w:tcW w:type="auto" w:w="3023"/>
          </w:tcPr>
          <w:p>
            <w:pPr>
              <w:jc w:val="left"/>
            </w:pPr>
            <w:r>
              <w:rPr>
                <w:color w:val="000000"/>
                <w:highlight w:val="yellow"/>
              </w:rPr>
              <w:t>{beheerorganisatie}</w:t>
            </w:r>
          </w:p>
        </w:tc>
        <w:tc>
          <w:tcPr>
            <w:tcW w:type="auto" w:w="3023"/>
          </w:tcPr>
          <w:p>
            <w:pPr>
              <w:jc w:val="left"/>
            </w:pPr>
            <w:r>
              <w:t>Kwaliteitsmanager</w:t>
            </w:r>
          </w:p>
        </w:tc>
        <w:tc>
          <w:tcPr>
            <w:tcW w:type="auto" w:w="3023"/>
          </w:tcPr>
          <w:p>
            <w:pPr>
              <w:jc w:val="left"/>
            </w:pPr>
            <w:r>
              <w:rPr>
                <w:color w:val="000000"/>
                <w:highlight w:val="yellow"/>
              </w:rPr>
              <w:t>{naam}</w:t>
            </w:r>
          </w:p>
        </w:tc>
      </w:tr>
      <w:tr>
        <w:tc>
          <w:tcPr>
            <w:tcW w:type="auto" w:w="3023"/>
          </w:tcPr>
          <w:p>
            <w:pPr>
              <w:jc w:val="left"/>
            </w:pPr>
            <w:r>
              <w:t>ICTU</w:t>
            </w:r>
          </w:p>
        </w:tc>
        <w:tc>
          <w:tcPr>
            <w:tcW w:type="auto" w:w="3023"/>
          </w:tcPr>
          <w:p>
            <w:pPr>
              <w:jc w:val="left"/>
            </w:pPr>
            <w:r>
              <w:t>Projectleider</w:t>
            </w:r>
          </w:p>
        </w:tc>
        <w:tc>
          <w:tcPr>
            <w:tcW w:type="auto" w:w="3023"/>
          </w:tcPr>
          <w:p>
            <w:pPr>
              <w:jc w:val="left"/>
            </w:pPr>
            <w:r>
              <w:rPr>
                <w:color w:val="000000"/>
                <w:highlight w:val="yellow"/>
              </w:rPr>
              <w:t>{naam}</w:t>
            </w:r>
          </w:p>
        </w:tc>
      </w:tr>
      <w:tr>
        <w:tc>
          <w:tcPr>
            <w:tcW w:type="auto" w:w="3023"/>
          </w:tcPr>
          <w:p>
            <w:pPr>
              <w:jc w:val="left"/>
            </w:pPr>
            <w:r>
              <w:t>ICTU</w:t>
            </w:r>
          </w:p>
        </w:tc>
        <w:tc>
          <w:tcPr>
            <w:tcW w:type="auto" w:w="3023"/>
          </w:tcPr>
          <w:p>
            <w:pPr>
              <w:jc w:val="left"/>
            </w:pPr>
            <w:r>
              <w:t>Software delivery manager</w:t>
            </w:r>
          </w:p>
        </w:tc>
        <w:tc>
          <w:tcPr>
            <w:tcW w:type="auto" w:w="3023"/>
          </w:tcPr>
          <w:p>
            <w:pPr>
              <w:jc w:val="left"/>
            </w:pPr>
            <w:r>
              <w:rPr>
                <w:color w:val="000000"/>
                <w:highlight w:val="yellow"/>
              </w:rPr>
              <w:t>{naam}</w:t>
            </w:r>
          </w:p>
        </w:tc>
      </w:tr>
      <w:tr>
        <w:tc>
          <w:tcPr>
            <w:tcW w:type="auto" w:w="3023"/>
          </w:tcPr>
          <w:p>
            <w:pPr>
              <w:jc w:val="left"/>
            </w:pPr>
            <w:r>
              <w:t>ICTU</w:t>
            </w:r>
          </w:p>
        </w:tc>
        <w:tc>
          <w:tcPr>
            <w:tcW w:type="auto" w:w="3023"/>
          </w:tcPr>
          <w:p>
            <w:pPr>
              <w:jc w:val="left"/>
            </w:pPr>
            <w:r>
              <w:t>Kwaliteitsmanager</w:t>
            </w:r>
          </w:p>
        </w:tc>
        <w:tc>
          <w:tcPr>
            <w:tcW w:type="auto" w:w="3023"/>
          </w:tcPr>
          <w:p>
            <w:pPr>
              <w:jc w:val="left"/>
            </w:pPr>
            <w:r>
              <w:rPr>
                <w:color w:val="000000"/>
                <w:highlight w:val="yellow"/>
              </w:rPr>
              <w:t>{naam}</w:t>
            </w:r>
          </w:p>
        </w:tc>
      </w:tr>
    </w:tbl>
    <w:p>
      <w:pPr>
        <w:pStyle w:val="Kop6"/>
      </w:pPr>
      <w:r>
        <w:t>Template versie</w:t>
      </w:r>
    </w:p>
    <w:p>
      <w:r>
        <w:t>Versie 4.0.4, 20-12-2024</w:t>
      </w:r>
    </w:p>
    <w:p>
      <w:r>
        <w:t xml:space="preserve">Verbeterpunten t.a.v. deze template graag melden via </w:t>
      </w:r>
      <w:hyperlink r:id="rId13">
        <w:r>
          <w:rPr>
            <w:rStyle w:val="Hyperlink"/>
          </w:rPr>
          <w:t>GitHub</w:t>
        </w:r>
      </w:hyperlink>
      <w:r>
        <w:t>.</w:t>
      </w:r>
    </w:p>
    <w:p>
      <w:pPr>
        <w:pStyle w:val="Kop1"/>
      </w:pPr>
      <w:r>
        <w:t>Managementsamenvatting</w:t>
      </w:r>
    </w:p>
    <w:p>
      <w:r>
        <w:rPr>
          <w:color w:val="000000"/>
          <w:highlight w:val="yellow"/>
        </w:rPr>
        <w:t>{De hoofdboodschap van dit document.}</w:t>
      </w:r>
    </w:p>
    <w:p>
      <w:pPr>
        <w:pStyle w:val="Kop1"/>
      </w:pPr>
      <w:r>
        <w:t>Inleiding</w:t>
      </w:r>
    </w:p>
    <w:p>
      <w:pPr>
        <w:pStyle w:val="Kop2"/>
      </w:pPr>
      <w:r>
        <w:t>Over dit document</w:t>
      </w:r>
    </w:p>
    <w:p>
      <w:r>
        <w:rPr>
          <w:color w:val="000000"/>
          <w:highlight w:val="yellow"/>
        </w:rPr>
        <w:t>{Het doel van dit document, inclusief de scope van wat beschreven is.}</w:t>
      </w:r>
    </w:p>
    <w:p>
      <w:pPr>
        <w:pStyle w:val="Kop2"/>
      </w:pPr>
      <w:r>
        <w:t>Doelgroep</w:t>
      </w:r>
    </w:p>
    <w:p>
      <w:r>
        <w:rPr>
          <w:color w:val="000000"/>
          <w:highlight w:val="yellow"/>
        </w:rPr>
        <w:t>{Doelgroep van dit document}</w:t>
      </w:r>
    </w:p>
    <w:p>
      <w:pPr>
        <w:pStyle w:val="Kop2"/>
      </w:pPr>
      <w:r>
        <w:t>Kaders</w:t>
      </w:r>
    </w:p>
    <w:p>
      <w:r>
        <w:t>De volgende kaders zijn van toepassing op het projectresultaat:</w:t>
      </w:r>
    </w:p>
    <w:tbl>
      <w:tblPr>
        <w:tblStyle w:val="Tabelraster1"/>
        <w:tblW w:type="pct" w:w="100%"/>
        <w:tblLook w:firstColumn="1" w:firstRow="1" w:lastColumn="0" w:lastRow="0" w:noHBand="0" w:noVBand="1" w:val="04A0"/>
      </w:tblPr>
      <w:tblGrid>
        <w:gridCol w:w="4535"/>
        <w:gridCol w:w="4535"/>
      </w:tblGrid>
      <w:tr>
        <w:tc>
          <w:tcPr>
            <w:tcW w:type="auto" w:w="4535"/>
          </w:tcPr>
          <w:p>
            <w:pPr>
              <w:jc w:val="left"/>
            </w:pPr>
            <w:r>
              <w:t>Volgnummer</w:t>
            </w:r>
          </w:p>
        </w:tc>
        <w:tc>
          <w:tcPr>
            <w:tcW w:type="auto" w:w="4535"/>
          </w:tcPr>
          <w:p>
            <w:pPr>
              <w:jc w:val="left"/>
            </w:pPr>
            <w:r>
              <w:t>Kader</w:t>
            </w:r>
          </w:p>
        </w:tc>
      </w:tr>
      <w:tr>
        <w:tc>
          <w:tcPr>
            <w:tcW w:type="auto" w:w="4535"/>
          </w:tcPr>
          <w:p>
            <w:pPr>
              <w:jc w:val="left"/>
            </w:pPr>
            <w:r>
              <w:t>K01</w:t>
            </w:r>
          </w:p>
        </w:tc>
        <w:tc>
          <w:tcPr>
            <w:tcW w:type="auto" w:w="4535"/>
          </w:tcPr>
          <w:p>
            <w:pPr>
              <w:jc w:val="left"/>
            </w:pPr>
            <w:r>
              <w:t>NEN-ISO/IEC 27001:2017 en NEN-ISO/IEC 27002:2017, VIR 2007, VIRBI 2013 en BIO voor het inrichten en beheren van informatiebeveiliging in brede zin.</w:t>
            </w:r>
          </w:p>
        </w:tc>
      </w:tr>
      <w:tr>
        <w:tc>
          <w:tcPr>
            <w:tcW w:type="auto" w:w="4535"/>
          </w:tcPr>
          <w:p>
            <w:pPr>
              <w:jc w:val="left"/>
            </w:pPr>
            <w:r>
              <w:t>K02</w:t>
            </w:r>
          </w:p>
        </w:tc>
        <w:tc>
          <w:tcPr>
            <w:tcW w:type="auto" w:w="4535"/>
          </w:tcPr>
          <w:p>
            <w:pPr>
              <w:jc w:val="left"/>
            </w:pPr>
            <w:r>
              <w:t>NCSC ICT-beveiligingsrichtlijnen voor webapplicaties</w:t>
            </w:r>
          </w:p>
        </w:tc>
      </w:tr>
      <w:tr>
        <w:tc>
          <w:tcPr>
            <w:tcW w:type="auto" w:w="4535"/>
          </w:tcPr>
          <w:p>
            <w:pPr>
              <w:jc w:val="left"/>
            </w:pPr>
            <w:r>
              <w:t>K03</w:t>
            </w:r>
          </w:p>
        </w:tc>
        <w:tc>
          <w:tcPr>
            <w:tcW w:type="auto" w:w="4535"/>
          </w:tcPr>
          <w:p>
            <w:pPr>
              <w:jc w:val="left"/>
            </w:pPr>
            <w:r>
              <w:t>OWASP Top-10</w:t>
            </w:r>
          </w:p>
        </w:tc>
      </w:tr>
      <w:tr>
        <w:tc>
          <w:tcPr>
            <w:tcW w:type="auto" w:w="4535"/>
          </w:tcPr>
          <w:p>
            <w:pPr>
              <w:jc w:val="left"/>
            </w:pPr>
            <w:r>
              <w:t>K04</w:t>
            </w:r>
          </w:p>
        </w:tc>
        <w:tc>
          <w:tcPr>
            <w:tcW w:type="auto" w:w="4535"/>
          </w:tcPr>
          <w:p>
            <w:pPr>
              <w:jc w:val="left"/>
            </w:pPr>
            <w:r>
              <w:t>ISO 9241-210:2019 Ergonomics of human-system interaction - Part 210: Human-centred design for interactive systems</w:t>
            </w:r>
          </w:p>
        </w:tc>
      </w:tr>
      <w:tr>
        <w:tc>
          <w:tcPr>
            <w:tcW w:type="auto" w:w="4535"/>
          </w:tcPr>
          <w:p>
            <w:pPr>
              <w:jc w:val="left"/>
            </w:pPr>
            <w:r>
              <w:t>K05</w:t>
            </w:r>
          </w:p>
        </w:tc>
        <w:tc>
          <w:tcPr>
            <w:tcW w:type="auto" w:w="4535"/>
          </w:tcPr>
          <w:p>
            <w:pPr>
              <w:jc w:val="left"/>
            </w:pPr>
            <w:r>
              <w:t>WCAG2.2 (Web Content Accessibility Guidelines) voor eisen met betrekking tot toegankelijkheid</w:t>
            </w:r>
          </w:p>
        </w:tc>
      </w:tr>
      <w:tr>
        <w:tc>
          <w:tcPr>
            <w:tcW w:type="auto" w:w="4535"/>
          </w:tcPr>
          <w:p>
            <w:pPr>
              <w:jc w:val="left"/>
            </w:pPr>
            <w:r>
              <w:t>K06</w:t>
            </w:r>
          </w:p>
        </w:tc>
        <w:tc>
          <w:tcPr>
            <w:tcW w:type="auto" w:w="4535"/>
          </w:tcPr>
          <w:p>
            <w:pPr>
              <w:jc w:val="left"/>
            </w:pPr>
            <w:r>
              <w:t>NEN-ISO/IEC 25010:2011 voor het specificeren van productkwaliteit</w:t>
            </w:r>
          </w:p>
        </w:tc>
      </w:tr>
      <w:tr>
        <w:tc>
          <w:tcPr>
            <w:tcW w:type="auto" w:w="4535"/>
          </w:tcPr>
          <w:p>
            <w:pPr>
              <w:jc w:val="left"/>
            </w:pPr>
            <w:r>
              <w:t>K07</w:t>
            </w:r>
          </w:p>
        </w:tc>
        <w:tc>
          <w:tcPr>
            <w:tcW w:type="auto" w:w="4535"/>
          </w:tcPr>
          <w:p>
            <w:pPr>
              <w:jc w:val="left"/>
            </w:pPr>
            <w:r>
              <w:t>NORA - Referentiearchitectuur voor de Nederlandse Overheid</w:t>
            </w:r>
          </w:p>
        </w:tc>
      </w:tr>
    </w:tbl>
    <w:p>
      <w:pPr>
        <w:pStyle w:val="Kop2"/>
      </w:pPr>
      <w:r>
        <w:t>Uitgangspunten</w:t>
      </w:r>
    </w:p>
    <w:p>
      <w:r>
        <w:t>De volgende uitgangspunten zijn van toepassing op dit document:</w:t>
      </w:r>
    </w:p>
    <w:tbl>
      <w:tblPr>
        <w:tblStyle w:val="Tabelraster1"/>
        <w:tblW w:type="pct" w:w="100%"/>
        <w:tblLook w:firstColumn="1" w:firstRow="1" w:lastColumn="0" w:lastRow="0" w:noHBand="0" w:noVBand="1" w:val="04A0"/>
      </w:tblPr>
      <w:tblGrid>
        <w:gridCol w:w="4535"/>
        <w:gridCol w:w="4535"/>
      </w:tblGrid>
      <w:tr>
        <w:tc>
          <w:tcPr>
            <w:tcW w:type="auto" w:w="4535"/>
          </w:tcPr>
          <w:p>
            <w:pPr>
              <w:jc w:val="left"/>
            </w:pPr>
            <w:r>
              <w:t>Volgnummer</w:t>
            </w:r>
          </w:p>
        </w:tc>
        <w:tc>
          <w:tcPr>
            <w:tcW w:type="auto" w:w="4535"/>
          </w:tcPr>
          <w:p>
            <w:pPr>
              <w:jc w:val="left"/>
            </w:pPr>
            <w:r>
              <w:t>Uitgangspunt</w:t>
            </w:r>
          </w:p>
        </w:tc>
      </w:tr>
      <w:tr>
        <w:tc>
          <w:tcPr>
            <w:tcW w:type="auto" w:w="4535"/>
          </w:tcPr>
          <w:p>
            <w:pPr>
              <w:jc w:val="left"/>
            </w:pPr>
            <w:r>
              <w:t>U01</w:t>
            </w:r>
          </w:p>
        </w:tc>
        <w:tc>
          <w:tcPr>
            <w:tcW w:type="auto" w:w="4535"/>
          </w:tcPr>
          <w:p>
            <w:pPr>
              <w:jc w:val="left"/>
            </w:pPr>
            <w:r>
              <w:rPr>
                <w:color w:val="000000"/>
                <w:highlight w:val="yellow"/>
              </w:rPr>
              <w:t>{uitgangspunt}</w:t>
            </w:r>
          </w:p>
        </w:tc>
      </w:tr>
      <w:tr>
        <w:tc>
          <w:tcPr>
            <w:tcW w:type="auto" w:w="4535"/>
          </w:tcPr>
          <w:p>
            <w:pPr>
              <w:jc w:val="left"/>
            </w:pPr>
            <w:r>
              <w:t>U02</w:t>
            </w:r>
          </w:p>
        </w:tc>
        <w:tc>
          <w:tcPr>
            <w:tcW w:type="auto" w:w="4535"/>
          </w:tcPr>
          <w:p>
            <w:pPr>
              <w:jc w:val="left"/>
            </w:pPr>
            <w:r>
              <w:rPr>
                <w:color w:val="000000"/>
                <w:highlight w:val="yellow"/>
              </w:rPr>
              <w:t>{uitgangspunt}</w:t>
            </w:r>
          </w:p>
        </w:tc>
      </w:tr>
      <w:tr>
        <w:tc>
          <w:tcPr>
            <w:tcW w:type="auto" w:w="4535"/>
          </w:tcPr>
          <w:p>
            <w:pPr>
              <w:jc w:val="left"/>
            </w:pPr>
            <w:r>
              <w:t>U03</w:t>
            </w:r>
          </w:p>
        </w:tc>
        <w:tc>
          <w:tcPr>
            <w:tcW w:type="auto" w:w="4535"/>
          </w:tcPr>
          <w:p>
            <w:pPr>
              <w:jc w:val="left"/>
            </w:pPr>
            <w:r>
              <w:rPr>
                <w:color w:val="000000"/>
                <w:highlight w:val="yellow"/>
              </w:rPr>
              <w:t>{uitgangspunt}</w:t>
            </w:r>
          </w:p>
        </w:tc>
      </w:tr>
      <w:tr>
        <w:tc>
          <w:tcPr>
            <w:tcW w:type="auto" w:w="4535"/>
          </w:tcPr>
          <w:p>
            <w:pPr>
              <w:jc w:val="left"/>
            </w:pPr>
            <w:r>
              <w:rPr>
                <w:color w:val="000000"/>
                <w:highlight w:val="yellow"/>
              </w:rPr>
              <w:t>{volgnummer}</w:t>
            </w:r>
          </w:p>
        </w:tc>
        <w:tc>
          <w:tcPr>
            <w:tcW w:type="auto" w:w="4535"/>
          </w:tcPr>
          <w:p>
            <w:pPr>
              <w:jc w:val="left"/>
            </w:pPr>
            <w:r>
              <w:rPr>
                <w:color w:val="000000"/>
                <w:highlight w:val="yellow"/>
              </w:rPr>
              <w:t>{uitgangspunt}</w:t>
            </w:r>
          </w:p>
        </w:tc>
      </w:tr>
    </w:tbl>
    <w:p>
      <w:pPr>
        <w:pStyle w:val="Kop2"/>
      </w:pPr>
      <w:r>
        <w:t>Relatie met andere documenten</w:t>
      </w:r>
    </w:p>
    <w:p>
      <w:r>
        <w:rPr>
          <w:color w:val="000000"/>
          <w:highlight w:val="yellow"/>
        </w:rPr>
        <w:t>{Relatie met andere documenten}</w:t>
      </w:r>
    </w:p>
    <w:p>
      <w:pPr>
        <w:pStyle w:val="Kop2"/>
      </w:pPr>
      <w:r>
        <w:t>Leeswijzer</w:t>
      </w:r>
    </w:p>
    <w:p>
      <w:r>
        <w:rPr>
          <w:color w:val="000000"/>
          <w:highlight w:val="yellow"/>
        </w:rPr>
        <w:t>{Wat staat waar in dit document?}</w:t>
      </w:r>
    </w:p>
    <w:p>
      <w:r>
        <w:t>Bijlage A bevat afkortingen en termen die voorkomen in de ICTU Kwaliteitsaanpak Softwareontwikkeling en bijbehorende templates. Bijlage B verwijst naar regelmatig gebruikte bronnen. Bijlage C bevat een beknopte samenvatting van de ICTU Kwaliteitsaanpak Softwareontwikkeling.</w:t>
      </w:r>
    </w:p>
    <w:p>
      <w:pPr>
        <w:pStyle w:val="Kop1"/>
      </w:pPr>
      <w:r>
        <w:t>Inhoud</w:t>
      </w:r>
    </w:p>
    <w:p>
      <w:r>
        <w:rPr>
          <w:color w:val="000000"/>
          <w:highlight w:val="yellow"/>
        </w:rPr>
        <w:t>{De specifieke inhoud van het document}</w:t>
      </w:r>
    </w:p>
    <w:p>
      <w:pPr>
        <w:pStyle w:val="Kop1Bijlage"/>
      </w:pPr>
      <w:r>
        <w:t>Bijlagen</w:t>
      </w:r>
    </w:p>
    <w:p>
      <w:pPr>
        <w:pStyle w:val="Kop2Bijlage"/>
      </w:pPr>
      <w:r>
        <w:t>Terminologie en afkortingen</w:t>
      </w:r>
    </w:p>
    <w:p>
      <w:r>
        <w:t>De onderstaande tabel bevat afkortingen en termen die voorkomen in de ICTU Kwaliteitsaanpak Softwareontwikkeling en bijbehorende templates.</w:t>
      </w:r>
    </w:p>
    <w:tbl>
      <w:tblPr>
        <w:tblStyle w:val="Tabelraster1"/>
        <w:tblW w:type="pct" w:w="100%"/>
        <w:tblLook w:firstColumn="1" w:firstRow="1" w:lastColumn="0" w:lastRow="0" w:noHBand="0" w:noVBand="1" w:val="04A0"/>
      </w:tblPr>
      <w:tblGrid>
        <w:gridCol w:w="4535"/>
        <w:gridCol w:w="4535"/>
      </w:tblGrid>
      <w:tr>
        <w:tc>
          <w:tcPr>
            <w:tcW w:type="auto" w:w="4535"/>
          </w:tcPr>
          <w:p>
            <w:pPr>
              <w:jc w:val="left"/>
            </w:pPr>
            <w:r>
              <w:t>Term/afkorting</w:t>
            </w:r>
          </w:p>
        </w:tc>
        <w:tc>
          <w:tcPr>
            <w:tcW w:type="auto" w:w="4535"/>
          </w:tcPr>
          <w:p>
            <w:pPr>
              <w:jc w:val="left"/>
            </w:pPr>
            <w:r>
              <w:t>Toelichting</w:t>
            </w:r>
          </w:p>
        </w:tc>
      </w:tr>
      <w:tr>
        <w:tc>
          <w:tcPr>
            <w:tcW w:type="auto" w:w="4535"/>
          </w:tcPr>
          <w:p>
            <w:pPr>
              <w:jc w:val="left"/>
            </w:pPr>
            <w:r>
              <w:rPr>
                <w:b/>
              </w:rPr>
              <w:t>actor</w:t>
            </w:r>
          </w:p>
        </w:tc>
        <w:tc>
          <w:tcPr>
            <w:tcW w:type="auto" w:w="4535"/>
          </w:tcPr>
          <w:p>
            <w:pPr>
              <w:jc w:val="left"/>
            </w:pPr>
            <w:r>
              <w:t xml:space="preserve">een persoon die, of een extern informatiesysteem dat, een handeling verricht op het </w:t>
            </w:r>
            <w:r>
              <w:rPr>
                <w:b/>
              </w:rPr>
              <w:t>informatiesysteem</w:t>
            </w:r>
          </w:p>
        </w:tc>
      </w:tr>
      <w:tr>
        <w:tc>
          <w:tcPr>
            <w:tcW w:type="auto" w:w="4535"/>
          </w:tcPr>
          <w:p>
            <w:pPr>
              <w:jc w:val="left"/>
            </w:pPr>
            <w:r>
              <w:rPr>
                <w:b/>
              </w:rPr>
              <w:t>architectuur</w:t>
            </w:r>
          </w:p>
        </w:tc>
        <w:tc>
          <w:tcPr>
            <w:tcW w:type="auto" w:w="4535"/>
          </w:tcPr>
          <w:p>
            <w:pPr>
              <w:jc w:val="left"/>
            </w:pPr>
            <w:r>
              <w:t>een beschrijving van de structuur van een systeem, inclusief onderdelen, relaties tussen die onderdelen en eigenschappen van die onderdelen en relaties</w:t>
            </w:r>
          </w:p>
        </w:tc>
      </w:tr>
      <w:tr>
        <w:tc>
          <w:tcPr>
            <w:tcW w:type="auto" w:w="4535"/>
          </w:tcPr>
          <w:p>
            <w:pPr>
              <w:jc w:val="left"/>
            </w:pPr>
            <w:r>
              <w:rPr>
                <w:b/>
              </w:rPr>
              <w:t>API</w:t>
            </w:r>
          </w:p>
        </w:tc>
        <w:tc>
          <w:tcPr>
            <w:tcW w:type="auto" w:w="4535"/>
          </w:tcPr>
          <w:p>
            <w:pPr>
              <w:jc w:val="left"/>
            </w:pPr>
            <w:r>
              <w:t>application programming interface</w:t>
            </w:r>
          </w:p>
        </w:tc>
      </w:tr>
      <w:tr>
        <w:tc>
          <w:tcPr>
            <w:tcW w:type="auto" w:w="4535"/>
          </w:tcPr>
          <w:p>
            <w:pPr>
              <w:jc w:val="left"/>
            </w:pPr>
            <w:r>
              <w:rPr>
                <w:b/>
              </w:rPr>
              <w:t>ART</w:t>
            </w:r>
          </w:p>
        </w:tc>
        <w:tc>
          <w:tcPr>
            <w:tcW w:type="auto" w:w="4535"/>
          </w:tcPr>
          <w:p>
            <w:pPr>
              <w:jc w:val="left"/>
            </w:pPr>
            <w:r>
              <w:t xml:space="preserve">automatische </w:t>
            </w:r>
            <w:r>
              <w:rPr>
                <w:b/>
              </w:rPr>
              <w:t>regressietest</w:t>
            </w:r>
          </w:p>
        </w:tc>
      </w:tr>
      <w:tr>
        <w:tc>
          <w:tcPr>
            <w:tcW w:type="auto" w:w="4535"/>
          </w:tcPr>
          <w:p>
            <w:pPr>
              <w:jc w:val="left"/>
            </w:pPr>
            <w:r>
              <w:rPr>
                <w:b/>
              </w:rPr>
              <w:t>auditing</w:t>
            </w:r>
          </w:p>
        </w:tc>
        <w:tc>
          <w:tcPr>
            <w:tcW w:type="auto" w:w="4535"/>
          </w:tcPr>
          <w:p>
            <w:pPr>
              <w:jc w:val="left"/>
            </w:pPr>
            <w:r>
              <w:t>Vastlegging van de door een actor verrichte handelingen</w:t>
            </w:r>
          </w:p>
        </w:tc>
      </w:tr>
      <w:tr>
        <w:tc>
          <w:tcPr>
            <w:tcW w:type="auto" w:w="4535"/>
          </w:tcPr>
          <w:p>
            <w:pPr>
              <w:jc w:val="left"/>
            </w:pPr>
            <w:r>
              <w:rPr>
                <w:b/>
              </w:rPr>
              <w:t>authenticatie</w:t>
            </w:r>
          </w:p>
        </w:tc>
        <w:tc>
          <w:tcPr>
            <w:tcW w:type="auto" w:w="4535"/>
          </w:tcPr>
          <w:p>
            <w:pPr>
              <w:jc w:val="left"/>
            </w:pPr>
            <w:r>
              <w:t xml:space="preserve">het vaststellen van de identiteit van een </w:t>
            </w:r>
            <w:r>
              <w:rPr>
                <w:b/>
              </w:rPr>
              <w:t>actor</w:t>
            </w:r>
          </w:p>
        </w:tc>
      </w:tr>
      <w:tr>
        <w:tc>
          <w:tcPr>
            <w:tcW w:type="auto" w:w="4535"/>
          </w:tcPr>
          <w:p>
            <w:pPr>
              <w:jc w:val="left"/>
            </w:pPr>
            <w:r>
              <w:rPr>
                <w:b/>
              </w:rPr>
              <w:t>autorisatie</w:t>
            </w:r>
          </w:p>
        </w:tc>
        <w:tc>
          <w:tcPr>
            <w:tcW w:type="auto" w:w="4535"/>
          </w:tcPr>
          <w:p>
            <w:pPr>
              <w:jc w:val="left"/>
            </w:pPr>
            <w:r>
              <w:t xml:space="preserve">aan een </w:t>
            </w:r>
            <w:r>
              <w:rPr>
                <w:b/>
              </w:rPr>
              <w:t>actor</w:t>
            </w:r>
            <w:r>
              <w:t xml:space="preserve"> toegekende rechten</w:t>
            </w:r>
          </w:p>
        </w:tc>
      </w:tr>
      <w:tr>
        <w:tc>
          <w:tcPr>
            <w:tcW w:type="auto" w:w="4535"/>
          </w:tcPr>
          <w:p>
            <w:pPr>
              <w:jc w:val="left"/>
            </w:pPr>
            <w:r>
              <w:rPr>
                <w:b/>
              </w:rPr>
              <w:t>beheerorganisatie</w:t>
            </w:r>
          </w:p>
        </w:tc>
        <w:tc>
          <w:tcPr>
            <w:tcW w:type="auto" w:w="4535"/>
          </w:tcPr>
          <w:p>
            <w:pPr>
              <w:jc w:val="left"/>
            </w:pPr>
            <w:r>
              <w:t xml:space="preserve">een (samenwerkingsverband van) organisatie(s) die in opdracht van een </w:t>
            </w:r>
            <w:r>
              <w:rPr>
                <w:b/>
              </w:rPr>
              <w:t>opdrachtgevende organisatie</w:t>
            </w:r>
            <w:r>
              <w:t xml:space="preserve"> het </w:t>
            </w:r>
            <w:r>
              <w:rPr>
                <w:b/>
              </w:rPr>
              <w:t>operationeel beheer</w:t>
            </w:r>
            <w:r>
              <w:t xml:space="preserve">, applicatief beheer en/of functioneel beheer van </w:t>
            </w:r>
            <w:r>
              <w:rPr>
                <w:b/>
              </w:rPr>
              <w:t>software</w:t>
            </w:r>
            <w:r>
              <w:t xml:space="preserve"> uitvoert</w:t>
            </w:r>
          </w:p>
        </w:tc>
      </w:tr>
      <w:tr>
        <w:tc>
          <w:tcPr>
            <w:tcW w:type="auto" w:w="4535"/>
          </w:tcPr>
          <w:p>
            <w:pPr>
              <w:jc w:val="left"/>
            </w:pPr>
            <w:r>
              <w:rPr>
                <w:b/>
              </w:rPr>
              <w:t>BIA</w:t>
            </w:r>
          </w:p>
        </w:tc>
        <w:tc>
          <w:tcPr>
            <w:tcW w:type="auto" w:w="4535"/>
          </w:tcPr>
          <w:p>
            <w:pPr>
              <w:jc w:val="left"/>
            </w:pPr>
            <w:r>
              <w:t>business impact analysis</w:t>
            </w:r>
          </w:p>
        </w:tc>
      </w:tr>
      <w:tr>
        <w:tc>
          <w:tcPr>
            <w:tcW w:type="auto" w:w="4535"/>
          </w:tcPr>
          <w:p>
            <w:pPr>
              <w:jc w:val="left"/>
            </w:pPr>
            <w:r>
              <w:rPr>
                <w:b/>
              </w:rPr>
              <w:t>BIO</w:t>
            </w:r>
          </w:p>
        </w:tc>
        <w:tc>
          <w:tcPr>
            <w:tcW w:type="auto" w:w="4535"/>
          </w:tcPr>
          <w:p>
            <w:pPr>
              <w:jc w:val="left"/>
            </w:pPr>
            <w:r>
              <w:t>Baseline Informatiebeveiliging Overheid</w:t>
            </w:r>
          </w:p>
        </w:tc>
      </w:tr>
      <w:tr>
        <w:tc>
          <w:tcPr>
            <w:tcW w:type="auto" w:w="4535"/>
          </w:tcPr>
          <w:p>
            <w:pPr>
              <w:jc w:val="left"/>
            </w:pPr>
            <w:r>
              <w:rPr>
                <w:b/>
              </w:rPr>
              <w:t>broncode</w:t>
            </w:r>
          </w:p>
        </w:tc>
        <w:tc>
          <w:tcPr>
            <w:tcW w:type="auto" w:w="4535"/>
          </w:tcPr>
          <w:p>
            <w:pPr>
              <w:jc w:val="left"/>
            </w:pPr>
            <w:r>
              <w:rPr>
                <w:b/>
              </w:rPr>
              <w:t>software</w:t>
            </w:r>
            <w:r>
              <w:t xml:space="preserve"> in een vorm die leesbaar is voor mensen en de intentie van een programmeur uitdrukt</w:t>
            </w:r>
          </w:p>
        </w:tc>
      </w:tr>
      <w:tr>
        <w:tc>
          <w:tcPr>
            <w:tcW w:type="auto" w:w="4535"/>
          </w:tcPr>
          <w:p>
            <w:pPr>
              <w:jc w:val="left"/>
            </w:pPr>
            <w:r>
              <w:rPr>
                <w:b/>
              </w:rPr>
              <w:t>deployment</w:t>
            </w:r>
          </w:p>
        </w:tc>
        <w:tc>
          <w:tcPr>
            <w:tcW w:type="auto" w:w="4535"/>
          </w:tcPr>
          <w:p>
            <w:pPr>
              <w:jc w:val="left"/>
            </w:pPr>
            <w:r>
              <w:t xml:space="preserve">installatie van </w:t>
            </w:r>
            <w:r>
              <w:rPr>
                <w:b/>
              </w:rPr>
              <w:t>software</w:t>
            </w:r>
            <w:r>
              <w:t xml:space="preserve"> op een systeem waardoor de software beschikbaar wordt gemaakt voor gebruik door </w:t>
            </w:r>
            <w:r>
              <w:rPr>
                <w:b/>
              </w:rPr>
              <w:t>actor</w:t>
            </w:r>
            <w:r>
              <w:t>en</w:t>
            </w:r>
          </w:p>
        </w:tc>
      </w:tr>
      <w:tr>
        <w:tc>
          <w:tcPr>
            <w:tcW w:type="auto" w:w="4535"/>
          </w:tcPr>
          <w:p>
            <w:pPr>
              <w:jc w:val="left"/>
            </w:pPr>
            <w:r>
              <w:rPr>
                <w:b/>
              </w:rPr>
              <w:t>developers</w:t>
            </w:r>
          </w:p>
        </w:tc>
        <w:tc>
          <w:tcPr>
            <w:tcW w:type="auto" w:w="4535"/>
          </w:tcPr>
          <w:p>
            <w:pPr>
              <w:jc w:val="left"/>
            </w:pPr>
            <w:r>
              <w:t xml:space="preserve">Developers zijn de mensen in het </w:t>
            </w:r>
            <w:r>
              <w:rPr>
                <w:b/>
              </w:rPr>
              <w:t>Scrumteam</w:t>
            </w:r>
            <w:r>
              <w:t xml:space="preserve"> die iedere sprint gecommitteerd zijn aan het maken van elk aspect van een bruikbaar increment [Scrumgids]</w:t>
            </w:r>
          </w:p>
        </w:tc>
      </w:tr>
      <w:tr>
        <w:tc>
          <w:tcPr>
            <w:tcW w:type="auto" w:w="4535"/>
          </w:tcPr>
          <w:p>
            <w:pPr>
              <w:jc w:val="left"/>
            </w:pPr>
            <w:r>
              <w:rPr>
                <w:b/>
              </w:rPr>
              <w:t>DevOps</w:t>
            </w:r>
          </w:p>
        </w:tc>
        <w:tc>
          <w:tcPr>
            <w:tcW w:type="auto" w:w="4535"/>
          </w:tcPr>
          <w:p>
            <w:pPr>
              <w:jc w:val="left"/>
            </w:pPr>
            <w:r>
              <w:t xml:space="preserve">een praktijk die tot doel heeft </w:t>
            </w:r>
            <w:r>
              <w:rPr>
                <w:b/>
              </w:rPr>
              <w:t>softwareontwikkeling</w:t>
            </w:r>
            <w:r>
              <w:t xml:space="preserve"> en </w:t>
            </w:r>
            <w:r>
              <w:rPr>
                <w:b/>
              </w:rPr>
              <w:t>operationeel beheer</w:t>
            </w:r>
            <w:r>
              <w:t xml:space="preserve"> samen te brengen</w:t>
            </w:r>
          </w:p>
        </w:tc>
      </w:tr>
      <w:tr>
        <w:tc>
          <w:tcPr>
            <w:tcW w:type="auto" w:w="4535"/>
          </w:tcPr>
          <w:p>
            <w:pPr>
              <w:jc w:val="left"/>
            </w:pPr>
            <w:r>
              <w:rPr>
                <w:b/>
              </w:rPr>
              <w:t>DoD</w:t>
            </w:r>
          </w:p>
        </w:tc>
        <w:tc>
          <w:tcPr>
            <w:tcW w:type="auto" w:w="4535"/>
          </w:tcPr>
          <w:p>
            <w:pPr>
              <w:jc w:val="left"/>
            </w:pPr>
            <w:r>
              <w:t>definition of done</w:t>
            </w:r>
          </w:p>
        </w:tc>
      </w:tr>
      <w:tr>
        <w:tc>
          <w:tcPr>
            <w:tcW w:type="auto" w:w="4535"/>
          </w:tcPr>
          <w:p>
            <w:pPr>
              <w:jc w:val="left"/>
            </w:pPr>
            <w:r>
              <w:rPr>
                <w:b/>
              </w:rPr>
              <w:t>DoR</w:t>
            </w:r>
          </w:p>
        </w:tc>
        <w:tc>
          <w:tcPr>
            <w:tcW w:type="auto" w:w="4535"/>
          </w:tcPr>
          <w:p>
            <w:pPr>
              <w:jc w:val="left"/>
            </w:pPr>
            <w:r>
              <w:t>definition of ready</w:t>
            </w:r>
          </w:p>
        </w:tc>
      </w:tr>
      <w:tr>
        <w:tc>
          <w:tcPr>
            <w:tcW w:type="auto" w:w="4535"/>
          </w:tcPr>
          <w:p>
            <w:pPr>
              <w:jc w:val="left"/>
            </w:pPr>
            <w:r>
              <w:rPr>
                <w:b/>
              </w:rPr>
              <w:t>gebruikskwaliteit</w:t>
            </w:r>
          </w:p>
        </w:tc>
        <w:tc>
          <w:tcPr>
            <w:tcW w:type="auto" w:w="4535"/>
          </w:tcPr>
          <w:p>
            <w:pPr>
              <w:jc w:val="left"/>
            </w:pPr>
            <w:r>
              <w:t>mate waarin een systeem, product of dienst kan worden gebruikt door gespecificeerde gebruikers, voor het bereiken van gespecificeerde doelen, met effectiviteit, efficiëntie en tevredenheid in een gespecificeerde gebruikscontext</w:t>
            </w:r>
          </w:p>
        </w:tc>
      </w:tr>
      <w:tr>
        <w:tc>
          <w:tcPr>
            <w:tcW w:type="auto" w:w="4535"/>
          </w:tcPr>
          <w:p>
            <w:pPr>
              <w:jc w:val="left"/>
            </w:pPr>
            <w:r>
              <w:rPr>
                <w:b/>
              </w:rPr>
              <w:t>GFO</w:t>
            </w:r>
          </w:p>
        </w:tc>
        <w:tc>
          <w:tcPr>
            <w:tcW w:type="auto" w:w="4535"/>
          </w:tcPr>
          <w:p>
            <w:pPr>
              <w:jc w:val="left"/>
            </w:pPr>
            <w:r>
              <w:t>globaal functioneel ontwerp</w:t>
            </w:r>
          </w:p>
        </w:tc>
      </w:tr>
      <w:tr>
        <w:tc>
          <w:tcPr>
            <w:tcW w:type="auto" w:w="4535"/>
          </w:tcPr>
          <w:p>
            <w:pPr>
              <w:jc w:val="left"/>
            </w:pPr>
            <w:r>
              <w:rPr>
                <w:b/>
              </w:rPr>
              <w:t>IB-plan</w:t>
            </w:r>
          </w:p>
        </w:tc>
        <w:tc>
          <w:tcPr>
            <w:tcW w:type="auto" w:w="4535"/>
          </w:tcPr>
          <w:p>
            <w:pPr>
              <w:jc w:val="left"/>
            </w:pPr>
            <w:r>
              <w:t>informatiebeveiligingsplan</w:t>
            </w:r>
          </w:p>
        </w:tc>
      </w:tr>
      <w:tr>
        <w:tc>
          <w:tcPr>
            <w:tcW w:type="auto" w:w="4535"/>
          </w:tcPr>
          <w:p>
            <w:pPr>
              <w:jc w:val="left"/>
            </w:pPr>
            <w:r>
              <w:rPr>
                <w:b/>
              </w:rPr>
              <w:t>informatiesysteem</w:t>
            </w:r>
          </w:p>
        </w:tc>
        <w:tc>
          <w:tcPr>
            <w:tcW w:type="auto" w:w="4535"/>
          </w:tcPr>
          <w:p>
            <w:pPr>
              <w:jc w:val="left"/>
            </w:pPr>
            <w:r>
              <w:t xml:space="preserve">een samenhangend geheel van gegevensverzamelingen en de daarbij behorende personen, procedures, processen en </w:t>
            </w:r>
            <w:r>
              <w:rPr>
                <w:b/>
              </w:rPr>
              <w:t>programmatuur</w:t>
            </w:r>
            <w:r>
              <w:t xml:space="preserve"> alsmede de voor het informatiesysteem getroffen voorzieningen voor opslag, verwerking en communicatie [VIR 2007, NORA]</w:t>
            </w:r>
          </w:p>
        </w:tc>
      </w:tr>
      <w:tr>
        <w:tc>
          <w:tcPr>
            <w:tcW w:type="auto" w:w="4535"/>
          </w:tcPr>
          <w:p>
            <w:pPr>
              <w:jc w:val="left"/>
            </w:pPr>
            <w:r>
              <w:rPr>
                <w:b/>
              </w:rPr>
              <w:t>infrastructuurarchitectuur</w:t>
            </w:r>
          </w:p>
        </w:tc>
        <w:tc>
          <w:tcPr>
            <w:tcW w:type="auto" w:w="4535"/>
          </w:tcPr>
          <w:p>
            <w:pPr>
              <w:jc w:val="left"/>
            </w:pPr>
            <w:r>
              <w:t xml:space="preserve">een </w:t>
            </w:r>
            <w:r>
              <w:rPr>
                <w:b/>
              </w:rPr>
              <w:t>architectuur</w:t>
            </w:r>
            <w:r>
              <w:t xml:space="preserve"> die vooral de hardwareonderdelen en -relaties (housing, hardware, virtuals, standaard software en middleware) van een systeem beschrijft</w:t>
            </w:r>
          </w:p>
        </w:tc>
      </w:tr>
      <w:tr>
        <w:tc>
          <w:tcPr>
            <w:tcW w:type="auto" w:w="4535"/>
          </w:tcPr>
          <w:p>
            <w:pPr>
              <w:jc w:val="left"/>
            </w:pPr>
            <w:r>
              <w:rPr>
                <w:b/>
              </w:rPr>
              <w:t>IPO</w:t>
            </w:r>
          </w:p>
        </w:tc>
        <w:tc>
          <w:tcPr>
            <w:tcW w:type="auto" w:w="4535"/>
          </w:tcPr>
          <w:p>
            <w:pPr>
              <w:jc w:val="left"/>
            </w:pPr>
            <w:r>
              <w:t>intern projectoverleg</w:t>
            </w:r>
          </w:p>
        </w:tc>
      </w:tr>
      <w:tr>
        <w:tc>
          <w:tcPr>
            <w:tcW w:type="auto" w:w="4535"/>
          </w:tcPr>
          <w:p>
            <w:pPr>
              <w:jc w:val="left"/>
            </w:pPr>
            <w:r>
              <w:rPr>
                <w:b/>
              </w:rPr>
              <w:t>ISD</w:t>
            </w:r>
          </w:p>
        </w:tc>
        <w:tc>
          <w:tcPr>
            <w:tcW w:type="auto" w:w="4535"/>
          </w:tcPr>
          <w:p>
            <w:pPr>
              <w:jc w:val="left"/>
            </w:pPr>
            <w:r>
              <w:t xml:space="preserve">ICTU Software Diensten, afdeling van ICTU die </w:t>
            </w:r>
            <w:r>
              <w:rPr>
                <w:b/>
              </w:rPr>
              <w:t>softwareontwikkelprojecten</w:t>
            </w:r>
            <w:r>
              <w:t xml:space="preserve"> ondersteunt met ontwikkel- en testomgevingen, tools en diensten</w:t>
            </w:r>
          </w:p>
        </w:tc>
      </w:tr>
      <w:tr>
        <w:tc>
          <w:tcPr>
            <w:tcW w:type="auto" w:w="4535"/>
          </w:tcPr>
          <w:p>
            <w:pPr>
              <w:jc w:val="left"/>
            </w:pPr>
            <w:r>
              <w:rPr>
                <w:b/>
              </w:rPr>
              <w:t>ISE</w:t>
            </w:r>
          </w:p>
        </w:tc>
        <w:tc>
          <w:tcPr>
            <w:tcW w:type="auto" w:w="4535"/>
          </w:tcPr>
          <w:p>
            <w:pPr>
              <w:jc w:val="left"/>
            </w:pPr>
            <w:r>
              <w:t xml:space="preserve">ICTU Software Expertise, afdeling van ICTU die </w:t>
            </w:r>
            <w:r>
              <w:rPr>
                <w:b/>
              </w:rPr>
              <w:t>softwareontwikkelprojecten</w:t>
            </w:r>
            <w:r>
              <w:t xml:space="preserve"> ondersteunt met expertise op het gebied van </w:t>
            </w:r>
            <w:r>
              <w:rPr>
                <w:b/>
              </w:rPr>
              <w:t>softwareontwikkeling</w:t>
            </w:r>
            <w:r>
              <w:t xml:space="preserve"> en die de ICTU Kwaliteitsaanpak Softwareontwikkeling onderhoudt</w:t>
            </w:r>
          </w:p>
        </w:tc>
      </w:tr>
      <w:tr>
        <w:tc>
          <w:tcPr>
            <w:tcW w:type="auto" w:w="4535"/>
          </w:tcPr>
          <w:p>
            <w:pPr>
              <w:jc w:val="left"/>
            </w:pPr>
            <w:r>
              <w:rPr>
                <w:b/>
              </w:rPr>
              <w:t>ISO</w:t>
            </w:r>
          </w:p>
        </w:tc>
        <w:tc>
          <w:tcPr>
            <w:tcW w:type="auto" w:w="4535"/>
          </w:tcPr>
          <w:p>
            <w:pPr>
              <w:jc w:val="left"/>
            </w:pPr>
            <w:r>
              <w:t>International Organization for Standardization</w:t>
            </w:r>
          </w:p>
        </w:tc>
      </w:tr>
      <w:tr>
        <w:tc>
          <w:tcPr>
            <w:tcW w:type="auto" w:w="4535"/>
          </w:tcPr>
          <w:p>
            <w:pPr>
              <w:jc w:val="left"/>
            </w:pPr>
            <w:r>
              <w:rPr>
                <w:b/>
              </w:rPr>
              <w:t>Jira</w:t>
            </w:r>
          </w:p>
        </w:tc>
        <w:tc>
          <w:tcPr>
            <w:tcW w:type="auto" w:w="4535"/>
          </w:tcPr>
          <w:p>
            <w:pPr>
              <w:jc w:val="left"/>
            </w:pPr>
            <w:r>
              <w:t xml:space="preserve">tool om </w:t>
            </w:r>
            <w:r>
              <w:rPr>
                <w:b/>
              </w:rPr>
              <w:t>use cases</w:t>
            </w:r>
            <w:r>
              <w:t>, user stories, logische testgevallen en issues vast te leggen</w:t>
            </w:r>
          </w:p>
        </w:tc>
      </w:tr>
      <w:tr>
        <w:tc>
          <w:tcPr>
            <w:tcW w:type="auto" w:w="4535"/>
          </w:tcPr>
          <w:p>
            <w:pPr>
              <w:jc w:val="left"/>
            </w:pPr>
            <w:r>
              <w:rPr>
                <w:b/>
              </w:rPr>
              <w:t>klantreis</w:t>
            </w:r>
          </w:p>
        </w:tc>
        <w:tc>
          <w:tcPr>
            <w:tcW w:type="auto" w:w="4535"/>
          </w:tcPr>
          <w:p>
            <w:pPr>
              <w:jc w:val="left"/>
            </w:pPr>
            <w:r>
              <w:t>alle directe en indirecte interactie van een klant of gebruiker met een product of dienst</w:t>
            </w:r>
          </w:p>
        </w:tc>
      </w:tr>
      <w:tr>
        <w:tc>
          <w:tcPr>
            <w:tcW w:type="auto" w:w="4535"/>
          </w:tcPr>
          <w:p>
            <w:pPr>
              <w:jc w:val="left"/>
            </w:pPr>
            <w:r>
              <w:rPr>
                <w:b/>
              </w:rPr>
              <w:t>KPI</w:t>
            </w:r>
          </w:p>
        </w:tc>
        <w:tc>
          <w:tcPr>
            <w:tcW w:type="auto" w:w="4535"/>
          </w:tcPr>
          <w:p>
            <w:pPr>
              <w:jc w:val="left"/>
            </w:pPr>
            <w:r>
              <w:t>key performance indicator</w:t>
            </w:r>
          </w:p>
        </w:tc>
      </w:tr>
      <w:tr>
        <w:tc>
          <w:tcPr>
            <w:tcW w:type="auto" w:w="4535"/>
          </w:tcPr>
          <w:p>
            <w:pPr>
              <w:jc w:val="left"/>
            </w:pPr>
            <w:r>
              <w:rPr>
                <w:b/>
              </w:rPr>
              <w:t>kwaliteitsmanager</w:t>
            </w:r>
          </w:p>
        </w:tc>
        <w:tc>
          <w:tcPr>
            <w:tcW w:type="auto" w:w="4535"/>
          </w:tcPr>
          <w:p>
            <w:pPr>
              <w:jc w:val="left"/>
            </w:pPr>
            <w:r>
              <w:t xml:space="preserve">controleert en borgt de kwaliteit van </w:t>
            </w:r>
            <w:r>
              <w:rPr>
                <w:b/>
              </w:rPr>
              <w:t>software</w:t>
            </w:r>
            <w:r>
              <w:t xml:space="preserve"> conform de vastgestelde eisen en de Kwaliteitsaanpak en rapporteert aan de </w:t>
            </w:r>
            <w:r>
              <w:rPr>
                <w:b/>
              </w:rPr>
              <w:t>projectleider</w:t>
            </w:r>
          </w:p>
        </w:tc>
      </w:tr>
      <w:tr>
        <w:tc>
          <w:tcPr>
            <w:tcW w:type="auto" w:w="4535"/>
          </w:tcPr>
          <w:p>
            <w:pPr>
              <w:jc w:val="left"/>
            </w:pPr>
            <w:r>
              <w:rPr>
                <w:b/>
              </w:rPr>
              <w:t>minimum viable product</w:t>
            </w:r>
          </w:p>
        </w:tc>
        <w:tc>
          <w:tcPr>
            <w:tcW w:type="auto" w:w="4535"/>
          </w:tcPr>
          <w:p>
            <w:pPr>
              <w:jc w:val="left"/>
            </w:pPr>
            <w:r>
              <w:t>de eerste versie van een product of dienst, die zo vroeg mogelijk wordt uitgerold naar de gebruikers; het bevat net voldoende functionaliteit om het gestelde doel te behalen, en niet meer dan dat</w:t>
            </w:r>
          </w:p>
        </w:tc>
      </w:tr>
      <w:tr>
        <w:tc>
          <w:tcPr>
            <w:tcW w:type="auto" w:w="4535"/>
          </w:tcPr>
          <w:p>
            <w:pPr>
              <w:jc w:val="left"/>
            </w:pPr>
            <w:r>
              <w:rPr>
                <w:b/>
              </w:rPr>
              <w:t>MTP</w:t>
            </w:r>
          </w:p>
        </w:tc>
        <w:tc>
          <w:tcPr>
            <w:tcW w:type="auto" w:w="4535"/>
          </w:tcPr>
          <w:p>
            <w:pPr>
              <w:jc w:val="left"/>
            </w:pPr>
            <w:r>
              <w:t>master testplan</w:t>
            </w:r>
          </w:p>
        </w:tc>
      </w:tr>
      <w:tr>
        <w:tc>
          <w:tcPr>
            <w:tcW w:type="auto" w:w="4535"/>
          </w:tcPr>
          <w:p>
            <w:pPr>
              <w:jc w:val="left"/>
            </w:pPr>
            <w:r>
              <w:rPr>
                <w:b/>
              </w:rPr>
              <w:t>MVP</w:t>
            </w:r>
          </w:p>
        </w:tc>
        <w:tc>
          <w:tcPr>
            <w:tcW w:type="auto" w:w="4535"/>
          </w:tcPr>
          <w:p>
            <w:pPr>
              <w:jc w:val="left"/>
            </w:pPr>
            <w:r>
              <w:rPr>
                <w:b/>
              </w:rPr>
              <w:t>minimum viable product</w:t>
            </w:r>
          </w:p>
        </w:tc>
      </w:tr>
      <w:tr>
        <w:tc>
          <w:tcPr>
            <w:tcW w:type="auto" w:w="4535"/>
          </w:tcPr>
          <w:p>
            <w:pPr>
              <w:jc w:val="left"/>
            </w:pPr>
            <w:r>
              <w:rPr>
                <w:b/>
              </w:rPr>
              <w:t>NFE</w:t>
            </w:r>
          </w:p>
        </w:tc>
        <w:tc>
          <w:tcPr>
            <w:tcW w:type="auto" w:w="4535"/>
          </w:tcPr>
          <w:p>
            <w:pPr>
              <w:jc w:val="left"/>
            </w:pPr>
            <w:r>
              <w:t>niet-functionele eis(en)</w:t>
            </w:r>
          </w:p>
        </w:tc>
      </w:tr>
      <w:tr>
        <w:tc>
          <w:tcPr>
            <w:tcW w:type="auto" w:w="4535"/>
          </w:tcPr>
          <w:p>
            <w:pPr>
              <w:jc w:val="left"/>
            </w:pPr>
            <w:r>
              <w:rPr>
                <w:b/>
              </w:rPr>
              <w:t>NORA</w:t>
            </w:r>
          </w:p>
        </w:tc>
        <w:tc>
          <w:tcPr>
            <w:tcW w:type="auto" w:w="4535"/>
          </w:tcPr>
          <w:p>
            <w:pPr>
              <w:jc w:val="left"/>
            </w:pPr>
            <w:r>
              <w:t>Nederlandse Overheidsreferentie-architectuur</w:t>
            </w:r>
          </w:p>
        </w:tc>
      </w:tr>
      <w:tr>
        <w:tc>
          <w:tcPr>
            <w:tcW w:type="auto" w:w="4535"/>
          </w:tcPr>
          <w:p>
            <w:pPr>
              <w:jc w:val="left"/>
            </w:pPr>
            <w:r>
              <w:rPr>
                <w:b/>
              </w:rPr>
              <w:t>NPR</w:t>
            </w:r>
          </w:p>
        </w:tc>
        <w:tc>
          <w:tcPr>
            <w:tcW w:type="auto" w:w="4535"/>
          </w:tcPr>
          <w:p>
            <w:pPr>
              <w:jc w:val="left"/>
            </w:pPr>
            <w:r>
              <w:t>Nederlandse Praktijkrichtlijn</w:t>
            </w:r>
          </w:p>
        </w:tc>
      </w:tr>
      <w:tr>
        <w:tc>
          <w:tcPr>
            <w:tcW w:type="auto" w:w="4535"/>
          </w:tcPr>
          <w:p>
            <w:pPr>
              <w:jc w:val="left"/>
            </w:pPr>
            <w:r>
              <w:rPr>
                <w:b/>
              </w:rPr>
              <w:t>ontwikkelaars</w:t>
            </w:r>
          </w:p>
        </w:tc>
        <w:tc>
          <w:tcPr>
            <w:tcW w:type="auto" w:w="4535"/>
          </w:tcPr>
          <w:p>
            <w:pPr>
              <w:jc w:val="left"/>
            </w:pPr>
            <w:r>
              <w:t>Ontwikkelaars (</w:t>
            </w:r>
            <w:r>
              <w:rPr>
                <w:i/>
              </w:rPr>
              <w:t>developers</w:t>
            </w:r>
            <w:r>
              <w:t xml:space="preserve"> in de Scrumgids) zijn de mensen in het </w:t>
            </w:r>
            <w:r>
              <w:rPr>
                <w:b/>
              </w:rPr>
              <w:t>Scrumteam</w:t>
            </w:r>
            <w:r>
              <w:t xml:space="preserve"> die iedere sprint gecommitteerd zijn aan het maken van elk aspect van een bruikbaar increment [Scrumgids]</w:t>
            </w:r>
          </w:p>
        </w:tc>
      </w:tr>
      <w:tr>
        <w:tc>
          <w:tcPr>
            <w:tcW w:type="auto" w:w="4535"/>
          </w:tcPr>
          <w:p>
            <w:pPr>
              <w:jc w:val="left"/>
            </w:pPr>
            <w:r>
              <w:rPr>
                <w:b/>
              </w:rPr>
              <w:t>opdrachtgevende organisatie</w:t>
            </w:r>
          </w:p>
        </w:tc>
        <w:tc>
          <w:tcPr>
            <w:tcW w:type="auto" w:w="4535"/>
          </w:tcPr>
          <w:p>
            <w:pPr>
              <w:jc w:val="left"/>
            </w:pPr>
            <w:r>
              <w:t xml:space="preserve">overheidsorganisatie die opdracht geeft aan ICTU tot ontwikkeling en/of onderhoud  van </w:t>
            </w:r>
            <w:r>
              <w:rPr>
                <w:b/>
              </w:rPr>
              <w:t>software</w:t>
            </w:r>
          </w:p>
        </w:tc>
      </w:tr>
      <w:tr>
        <w:tc>
          <w:tcPr>
            <w:tcW w:type="auto" w:w="4535"/>
          </w:tcPr>
          <w:p>
            <w:pPr>
              <w:jc w:val="left"/>
            </w:pPr>
            <w:r>
              <w:rPr>
                <w:b/>
              </w:rPr>
              <w:t>opdrachtgever</w:t>
            </w:r>
          </w:p>
        </w:tc>
        <w:tc>
          <w:tcPr>
            <w:tcW w:type="auto" w:w="4535"/>
          </w:tcPr>
          <w:p>
            <w:pPr>
              <w:jc w:val="left"/>
            </w:pPr>
            <w:r>
              <w:t xml:space="preserve">medewerker van de </w:t>
            </w:r>
            <w:r>
              <w:rPr>
                <w:b/>
              </w:rPr>
              <w:t>opdrachtgevende organisatie</w:t>
            </w:r>
            <w:r>
              <w:t xml:space="preserve"> die eindverantwoordelijk is voor de opdracht aan ICTU</w:t>
            </w:r>
          </w:p>
        </w:tc>
      </w:tr>
      <w:tr>
        <w:tc>
          <w:tcPr>
            <w:tcW w:type="auto" w:w="4535"/>
          </w:tcPr>
          <w:p>
            <w:pPr>
              <w:jc w:val="left"/>
            </w:pPr>
            <w:r>
              <w:rPr>
                <w:b/>
              </w:rPr>
              <w:t>operationeel beheer</w:t>
            </w:r>
          </w:p>
        </w:tc>
        <w:tc>
          <w:tcPr>
            <w:tcW w:type="auto" w:w="4535"/>
          </w:tcPr>
          <w:p>
            <w:pPr>
              <w:jc w:val="left"/>
            </w:pPr>
            <w:r>
              <w:t>activiteiten die zorgen dat software operationeel is en blijft, zoals het oplossen van incidenten, het uitvoeren van onderhoud, het implementeren van upgrades en patches, het beheren van configuraties, en het monitoren van prestaties en beschikbaarheid</w:t>
            </w:r>
          </w:p>
        </w:tc>
      </w:tr>
      <w:tr>
        <w:tc>
          <w:tcPr>
            <w:tcW w:type="auto" w:w="4535"/>
          </w:tcPr>
          <w:p>
            <w:pPr>
              <w:jc w:val="left"/>
            </w:pPr>
            <w:r>
              <w:rPr>
                <w:b/>
              </w:rPr>
              <w:t>OTAP</w:t>
            </w:r>
          </w:p>
        </w:tc>
        <w:tc>
          <w:tcPr>
            <w:tcW w:type="auto" w:w="4535"/>
          </w:tcPr>
          <w:p>
            <w:pPr>
              <w:jc w:val="left"/>
            </w:pPr>
            <w:r>
              <w:t>ontwikkel, test, acceptatie, productie; gebruikt om verschillende soorten omgevingen aan te duiden</w:t>
            </w:r>
          </w:p>
        </w:tc>
      </w:tr>
      <w:tr>
        <w:tc>
          <w:tcPr>
            <w:tcW w:type="auto" w:w="4535"/>
          </w:tcPr>
          <w:p>
            <w:pPr>
              <w:jc w:val="left"/>
            </w:pPr>
            <w:r>
              <w:rPr>
                <w:b/>
              </w:rPr>
              <w:t>persona</w:t>
            </w:r>
          </w:p>
        </w:tc>
        <w:tc>
          <w:tcPr>
            <w:tcW w:type="auto" w:w="4535"/>
          </w:tcPr>
          <w:p>
            <w:pPr>
              <w:jc w:val="left"/>
            </w:pPr>
            <w:r>
              <w:t xml:space="preserve">een min of meer realistische beschrijving van een fictief persoon, veelal met naam, persoonskenmerken, drijfveren en behoeften, die een groep gebruikers representeert en gebruikt wordt om te redeneren over de gewenste functionele en niet-functionele eigenschappen van de </w:t>
            </w:r>
            <w:r>
              <w:rPr>
                <w:b/>
              </w:rPr>
              <w:t>software</w:t>
            </w:r>
          </w:p>
        </w:tc>
      </w:tr>
      <w:tr>
        <w:tc>
          <w:tcPr>
            <w:tcW w:type="auto" w:w="4535"/>
          </w:tcPr>
          <w:p>
            <w:pPr>
              <w:jc w:val="left"/>
            </w:pPr>
            <w:r>
              <w:rPr>
                <w:b/>
              </w:rPr>
              <w:t>PIA</w:t>
            </w:r>
          </w:p>
        </w:tc>
        <w:tc>
          <w:tcPr>
            <w:tcW w:type="auto" w:w="4535"/>
          </w:tcPr>
          <w:p>
            <w:pPr>
              <w:jc w:val="left"/>
            </w:pPr>
            <w:r>
              <w:t>privacy impact assessment</w:t>
            </w:r>
          </w:p>
        </w:tc>
      </w:tr>
      <w:tr>
        <w:tc>
          <w:tcPr>
            <w:tcW w:type="auto" w:w="4535"/>
          </w:tcPr>
          <w:p>
            <w:pPr>
              <w:jc w:val="left"/>
            </w:pPr>
            <w:r>
              <w:rPr>
                <w:b/>
              </w:rPr>
              <w:t>PKI</w:t>
            </w:r>
          </w:p>
        </w:tc>
        <w:tc>
          <w:tcPr>
            <w:tcW w:type="auto" w:w="4535"/>
          </w:tcPr>
          <w:p>
            <w:pPr>
              <w:jc w:val="left"/>
            </w:pPr>
            <w:r>
              <w:t>public key infrastructure</w:t>
            </w:r>
          </w:p>
        </w:tc>
      </w:tr>
      <w:tr>
        <w:tc>
          <w:tcPr>
            <w:tcW w:type="auto" w:w="4535"/>
          </w:tcPr>
          <w:p>
            <w:pPr>
              <w:jc w:val="left"/>
            </w:pPr>
            <w:r>
              <w:rPr>
                <w:b/>
              </w:rPr>
              <w:t>PRA</w:t>
            </w:r>
          </w:p>
        </w:tc>
        <w:tc>
          <w:tcPr>
            <w:tcW w:type="auto" w:w="4535"/>
          </w:tcPr>
          <w:p>
            <w:pPr>
              <w:jc w:val="left"/>
            </w:pPr>
            <w:r>
              <w:t>productrisicoanalyse</w:t>
            </w:r>
          </w:p>
        </w:tc>
      </w:tr>
      <w:tr>
        <w:tc>
          <w:tcPr>
            <w:tcW w:type="auto" w:w="4535"/>
          </w:tcPr>
          <w:p>
            <w:pPr>
              <w:jc w:val="left"/>
            </w:pPr>
            <w:r>
              <w:rPr>
                <w:b/>
              </w:rPr>
              <w:t>Product owner</w:t>
            </w:r>
          </w:p>
        </w:tc>
        <w:tc>
          <w:tcPr>
            <w:tcW w:type="auto" w:w="4535"/>
          </w:tcPr>
          <w:p>
            <w:pPr>
              <w:jc w:val="left"/>
            </w:pPr>
            <w:r>
              <w:t xml:space="preserve">De product owner is verantwoordelijk voor het maximaliseren van de waarde van het product, dat het resultaat is van het werk van het </w:t>
            </w:r>
            <w:r>
              <w:rPr>
                <w:b/>
              </w:rPr>
              <w:t>Scrumteam</w:t>
            </w:r>
            <w:r>
              <w:t xml:space="preserve"> [Scrumgids]</w:t>
            </w:r>
          </w:p>
        </w:tc>
      </w:tr>
      <w:tr>
        <w:tc>
          <w:tcPr>
            <w:tcW w:type="auto" w:w="4535"/>
          </w:tcPr>
          <w:p>
            <w:pPr>
              <w:jc w:val="left"/>
            </w:pPr>
            <w:r>
              <w:rPr>
                <w:b/>
              </w:rPr>
              <w:t>programmatuur</w:t>
            </w:r>
          </w:p>
        </w:tc>
        <w:tc>
          <w:tcPr>
            <w:tcW w:type="auto" w:w="4535"/>
          </w:tcPr>
          <w:p>
            <w:pPr>
              <w:jc w:val="left"/>
            </w:pPr>
            <w:r>
              <w:t xml:space="preserve">zie </w:t>
            </w:r>
            <w:r>
              <w:rPr>
                <w:b/>
              </w:rPr>
              <w:t>software</w:t>
            </w:r>
          </w:p>
        </w:tc>
      </w:tr>
      <w:tr>
        <w:tc>
          <w:tcPr>
            <w:tcW w:type="auto" w:w="4535"/>
          </w:tcPr>
          <w:p>
            <w:pPr>
              <w:jc w:val="left"/>
            </w:pPr>
            <w:r>
              <w:rPr>
                <w:b/>
              </w:rPr>
              <w:t>project</w:t>
            </w:r>
          </w:p>
        </w:tc>
        <w:tc>
          <w:tcPr>
            <w:tcW w:type="auto" w:w="4535"/>
          </w:tcPr>
          <w:p>
            <w:pPr>
              <w:jc w:val="left"/>
            </w:pPr>
            <w:r>
              <w:t xml:space="preserve">een tijdelijke organisatie voor het realiseren van een resultaat - bij ICTU bestaat een </w:t>
            </w:r>
            <w:r>
              <w:rPr>
                <w:b/>
              </w:rPr>
              <w:t>softwareontwikkelproject</w:t>
            </w:r>
            <w:r>
              <w:t xml:space="preserve"> uit medewerkers van ICTU, de </w:t>
            </w:r>
            <w:r>
              <w:rPr>
                <w:b/>
              </w:rPr>
              <w:t>opdrachtgevende organisatie</w:t>
            </w:r>
            <w:r>
              <w:t>, beheerorganisatie en eventueel andere partijen</w:t>
            </w:r>
          </w:p>
        </w:tc>
      </w:tr>
      <w:tr>
        <w:tc>
          <w:tcPr>
            <w:tcW w:type="auto" w:w="4535"/>
          </w:tcPr>
          <w:p>
            <w:pPr>
              <w:jc w:val="left"/>
            </w:pPr>
            <w:r>
              <w:rPr>
                <w:b/>
              </w:rPr>
              <w:t>projectleider</w:t>
            </w:r>
          </w:p>
        </w:tc>
        <w:tc>
          <w:tcPr>
            <w:tcW w:type="auto" w:w="4535"/>
          </w:tcPr>
          <w:p>
            <w:pPr>
              <w:jc w:val="left"/>
            </w:pPr>
            <w:r>
              <w:t>medewerker eindverantwoordelijk voor het projectresultaat - bij ICTU-softwareontwikkelprojecten is de projectleider een medewerker van ICTU</w:t>
            </w:r>
          </w:p>
        </w:tc>
      </w:tr>
      <w:tr>
        <w:tc>
          <w:tcPr>
            <w:tcW w:type="auto" w:w="4535"/>
          </w:tcPr>
          <w:p>
            <w:pPr>
              <w:jc w:val="left"/>
            </w:pPr>
            <w:r>
              <w:rPr>
                <w:b/>
              </w:rPr>
              <w:t>PSA</w:t>
            </w:r>
          </w:p>
        </w:tc>
        <w:tc>
          <w:tcPr>
            <w:tcW w:type="auto" w:w="4535"/>
          </w:tcPr>
          <w:p>
            <w:pPr>
              <w:jc w:val="left"/>
            </w:pPr>
            <w:r>
              <w:t xml:space="preserve">De projectstartarchitectuur is een concreet en doelgericht ICT-architectuurkader waarbinnen het </w:t>
            </w:r>
            <w:r>
              <w:rPr>
                <w:b/>
              </w:rPr>
              <w:t>project</w:t>
            </w:r>
            <w:r>
              <w:t xml:space="preserve"> moet worden uitgevoerd</w:t>
            </w:r>
          </w:p>
        </w:tc>
      </w:tr>
      <w:tr>
        <w:tc>
          <w:tcPr>
            <w:tcW w:type="auto" w:w="4535"/>
          </w:tcPr>
          <w:p>
            <w:pPr>
              <w:jc w:val="left"/>
            </w:pPr>
            <w:r>
              <w:rPr>
                <w:b/>
              </w:rPr>
              <w:t>PvE</w:t>
            </w:r>
          </w:p>
        </w:tc>
        <w:tc>
          <w:tcPr>
            <w:tcW w:type="auto" w:w="4535"/>
          </w:tcPr>
          <w:p>
            <w:pPr>
              <w:jc w:val="left"/>
            </w:pPr>
            <w:r>
              <w:t>programma van eisen</w:t>
            </w:r>
          </w:p>
        </w:tc>
      </w:tr>
      <w:tr>
        <w:tc>
          <w:tcPr>
            <w:tcW w:type="auto" w:w="4535"/>
          </w:tcPr>
          <w:p>
            <w:pPr>
              <w:jc w:val="left"/>
            </w:pPr>
            <w:r>
              <w:rPr>
                <w:b/>
              </w:rPr>
              <w:t>Quality-time</w:t>
            </w:r>
          </w:p>
        </w:tc>
        <w:tc>
          <w:tcPr>
            <w:tcW w:type="auto" w:w="4535"/>
          </w:tcPr>
          <w:p>
            <w:pPr>
              <w:jc w:val="left"/>
            </w:pPr>
            <w:r>
              <w:t>een door ICTU ontwikkeld, open source, geautomatiseerd kwaliteitssysteem</w:t>
            </w:r>
          </w:p>
        </w:tc>
      </w:tr>
      <w:tr>
        <w:tc>
          <w:tcPr>
            <w:tcW w:type="auto" w:w="4535"/>
          </w:tcPr>
          <w:p>
            <w:pPr>
              <w:jc w:val="left"/>
            </w:pPr>
            <w:r>
              <w:rPr>
                <w:b/>
              </w:rPr>
              <w:t>realisatiefase</w:t>
            </w:r>
          </w:p>
        </w:tc>
        <w:tc>
          <w:tcPr>
            <w:tcW w:type="auto" w:w="4535"/>
          </w:tcPr>
          <w:p>
            <w:pPr>
              <w:jc w:val="left"/>
            </w:pPr>
            <w:r>
              <w:t xml:space="preserve">fase van een </w:t>
            </w:r>
            <w:r>
              <w:rPr>
                <w:b/>
              </w:rPr>
              <w:t>softwareontwikkelproject</w:t>
            </w:r>
            <w:r>
              <w:t xml:space="preserve"> waarin de </w:t>
            </w:r>
            <w:r>
              <w:rPr>
                <w:b/>
              </w:rPr>
              <w:t>software</w:t>
            </w:r>
            <w:r>
              <w:t xml:space="preserve"> daadwerkelijk wordt gebouwd en onderhouden, en bij een </w:t>
            </w:r>
            <w:r>
              <w:rPr>
                <w:b/>
              </w:rPr>
              <w:t>DevOps</w:t>
            </w:r>
            <w:r>
              <w:t xml:space="preserve"> werkwijze ook operationeel wordt beheerd</w:t>
            </w:r>
          </w:p>
        </w:tc>
      </w:tr>
      <w:tr>
        <w:tc>
          <w:tcPr>
            <w:tcW w:type="auto" w:w="4535"/>
          </w:tcPr>
          <w:p>
            <w:pPr>
              <w:jc w:val="left"/>
            </w:pPr>
            <w:r>
              <w:rPr>
                <w:b/>
              </w:rPr>
              <w:t>regressietest</w:t>
            </w:r>
          </w:p>
        </w:tc>
        <w:tc>
          <w:tcPr>
            <w:tcW w:type="auto" w:w="4535"/>
          </w:tcPr>
          <w:p>
            <w:pPr>
              <w:jc w:val="left"/>
            </w:pPr>
            <w:r>
              <w:t>test die na een wijziging controleert of niet-gewijzigde delen van een systeem nog steeds correct functioneren</w:t>
            </w:r>
          </w:p>
        </w:tc>
      </w:tr>
      <w:tr>
        <w:tc>
          <w:tcPr>
            <w:tcW w:type="auto" w:w="4535"/>
          </w:tcPr>
          <w:p>
            <w:pPr>
              <w:jc w:val="left"/>
            </w:pPr>
            <w:r>
              <w:rPr>
                <w:b/>
              </w:rPr>
              <w:t>release notes</w:t>
            </w:r>
          </w:p>
        </w:tc>
        <w:tc>
          <w:tcPr>
            <w:tcW w:type="auto" w:w="4535"/>
          </w:tcPr>
          <w:p>
            <w:pPr>
              <w:jc w:val="left"/>
            </w:pPr>
            <w:r>
              <w:t xml:space="preserve">een overzicht van de wijzigingen in een </w:t>
            </w:r>
            <w:r>
              <w:rPr>
                <w:b/>
              </w:rPr>
              <w:t>release</w:t>
            </w:r>
          </w:p>
        </w:tc>
      </w:tr>
      <w:tr>
        <w:tc>
          <w:tcPr>
            <w:tcW w:type="auto" w:w="4535"/>
          </w:tcPr>
          <w:p>
            <w:pPr>
              <w:jc w:val="left"/>
            </w:pPr>
            <w:r>
              <w:rPr>
                <w:b/>
              </w:rPr>
              <w:t>release</w:t>
            </w:r>
          </w:p>
        </w:tc>
        <w:tc>
          <w:tcPr>
            <w:tcW w:type="auto" w:w="4535"/>
          </w:tcPr>
          <w:p>
            <w:pPr>
              <w:jc w:val="left"/>
            </w:pPr>
            <w:r>
              <w:t xml:space="preserve">een voor gebruik vrijgegeven versie van de </w:t>
            </w:r>
            <w:r>
              <w:rPr>
                <w:b/>
              </w:rPr>
              <w:t>software</w:t>
            </w:r>
          </w:p>
        </w:tc>
      </w:tr>
      <w:tr>
        <w:tc>
          <w:tcPr>
            <w:tcW w:type="auto" w:w="4535"/>
          </w:tcPr>
          <w:p>
            <w:pPr>
              <w:jc w:val="left"/>
            </w:pPr>
            <w:r>
              <w:rPr>
                <w:b/>
              </w:rPr>
              <w:t>SAD</w:t>
            </w:r>
          </w:p>
        </w:tc>
        <w:tc>
          <w:tcPr>
            <w:tcW w:type="auto" w:w="4535"/>
          </w:tcPr>
          <w:p>
            <w:pPr>
              <w:jc w:val="left"/>
            </w:pPr>
            <w:r>
              <w:t>software-architectuurdocument</w:t>
            </w:r>
          </w:p>
        </w:tc>
      </w:tr>
      <w:tr>
        <w:tc>
          <w:tcPr>
            <w:tcW w:type="auto" w:w="4535"/>
          </w:tcPr>
          <w:p>
            <w:pPr>
              <w:jc w:val="left"/>
            </w:pPr>
            <w:r>
              <w:rPr>
                <w:b/>
              </w:rPr>
              <w:t>Scrum</w:t>
            </w:r>
          </w:p>
        </w:tc>
        <w:tc>
          <w:tcPr>
            <w:tcW w:type="auto" w:w="4535"/>
          </w:tcPr>
          <w:p>
            <w:pPr>
              <w:jc w:val="left"/>
            </w:pPr>
            <w:r>
              <w:t>Scrum is een lichtgewicht raamwerk dat mensen, teams en organisaties helpt om waarde te creёren door middel van adaptieve oplossingen voor complexe problemen [Scrumgids]</w:t>
            </w:r>
          </w:p>
        </w:tc>
      </w:tr>
      <w:tr>
        <w:tc>
          <w:tcPr>
            <w:tcW w:type="auto" w:w="4535"/>
          </w:tcPr>
          <w:p>
            <w:pPr>
              <w:jc w:val="left"/>
            </w:pPr>
            <w:r>
              <w:rPr>
                <w:b/>
              </w:rPr>
              <w:t>Scrummaster</w:t>
            </w:r>
          </w:p>
        </w:tc>
        <w:tc>
          <w:tcPr>
            <w:tcW w:type="auto" w:w="4535"/>
          </w:tcPr>
          <w:p>
            <w:pPr>
              <w:jc w:val="left"/>
            </w:pPr>
            <w:r>
              <w:t xml:space="preserve">De Scrummaster is verantwoordelijk voor het opzetten van </w:t>
            </w:r>
            <w:r>
              <w:rPr>
                <w:b/>
              </w:rPr>
              <w:t>Scrum</w:t>
            </w:r>
            <w:r>
              <w:t>, zoals staat beschreven in de Scrumgids [Scrumgids]</w:t>
            </w:r>
          </w:p>
        </w:tc>
      </w:tr>
      <w:tr>
        <w:tc>
          <w:tcPr>
            <w:tcW w:type="auto" w:w="4535"/>
          </w:tcPr>
          <w:p>
            <w:pPr>
              <w:jc w:val="left"/>
            </w:pPr>
            <w:r>
              <w:rPr>
                <w:b/>
              </w:rPr>
              <w:t>Scrumteam</w:t>
            </w:r>
          </w:p>
        </w:tc>
        <w:tc>
          <w:tcPr>
            <w:tcW w:type="auto" w:w="4535"/>
          </w:tcPr>
          <w:p>
            <w:pPr>
              <w:jc w:val="left"/>
            </w:pPr>
            <w:r>
              <w:t xml:space="preserve">Een Scrumteam bestaat uit één </w:t>
            </w:r>
            <w:r>
              <w:rPr>
                <w:b/>
              </w:rPr>
              <w:t>Scrummaster</w:t>
            </w:r>
            <w:r>
              <w:t xml:space="preserve">, één </w:t>
            </w:r>
            <w:r>
              <w:rPr>
                <w:b/>
              </w:rPr>
              <w:t>product owner</w:t>
            </w:r>
            <w:r>
              <w:t xml:space="preserve"> en </w:t>
            </w:r>
            <w:r>
              <w:rPr>
                <w:b/>
              </w:rPr>
              <w:t>ontwikkelaars</w:t>
            </w:r>
            <w:r>
              <w:t xml:space="preserve"> (</w:t>
            </w:r>
            <w:r>
              <w:rPr>
                <w:i/>
              </w:rPr>
              <w:t>developers</w:t>
            </w:r>
            <w:r>
              <w:t xml:space="preserve"> in de Scrumgids) [Scrumgids]</w:t>
            </w:r>
          </w:p>
        </w:tc>
      </w:tr>
      <w:tr>
        <w:tc>
          <w:tcPr>
            <w:tcW w:type="auto" w:w="4535"/>
          </w:tcPr>
          <w:p>
            <w:pPr>
              <w:jc w:val="left"/>
            </w:pPr>
            <w:r>
              <w:rPr>
                <w:b/>
              </w:rPr>
              <w:t>softwarearchitectuur</w:t>
            </w:r>
          </w:p>
        </w:tc>
        <w:tc>
          <w:tcPr>
            <w:tcW w:type="auto" w:w="4535"/>
          </w:tcPr>
          <w:p>
            <w:pPr>
              <w:jc w:val="left"/>
            </w:pPr>
            <w:r>
              <w:t xml:space="preserve">een </w:t>
            </w:r>
            <w:r>
              <w:rPr>
                <w:b/>
              </w:rPr>
              <w:t>architectuur</w:t>
            </w:r>
            <w:r>
              <w:t xml:space="preserve"> die vooral de softwareonderdelen en -relaties (processen, modules, interfaces, datamodel) van een systeem beschrijft</w:t>
            </w:r>
          </w:p>
        </w:tc>
      </w:tr>
      <w:tr>
        <w:tc>
          <w:tcPr>
            <w:tcW w:type="auto" w:w="4535"/>
          </w:tcPr>
          <w:p>
            <w:pPr>
              <w:jc w:val="left"/>
            </w:pPr>
            <w:r>
              <w:rPr>
                <w:b/>
              </w:rPr>
              <w:t>software delivery manager</w:t>
            </w:r>
          </w:p>
        </w:tc>
        <w:tc>
          <w:tcPr>
            <w:tcW w:type="auto" w:w="4535"/>
          </w:tcPr>
          <w:p>
            <w:pPr>
              <w:jc w:val="left"/>
            </w:pPr>
            <w:r>
              <w:t xml:space="preserve">organiseert het ontwikkelen en opleveren van </w:t>
            </w:r>
            <w:r>
              <w:rPr>
                <w:b/>
              </w:rPr>
              <w:t>software</w:t>
            </w:r>
            <w:r>
              <w:t xml:space="preserve"> conform de vastgestelde eisen en de Kwaliteitsaanpak en rapporteert aan de </w:t>
            </w:r>
            <w:r>
              <w:rPr>
                <w:b/>
              </w:rPr>
              <w:t>projectleider</w:t>
            </w:r>
          </w:p>
        </w:tc>
      </w:tr>
      <w:tr>
        <w:tc>
          <w:tcPr>
            <w:tcW w:type="auto" w:w="4535"/>
          </w:tcPr>
          <w:p>
            <w:pPr>
              <w:jc w:val="left"/>
            </w:pPr>
            <w:r>
              <w:rPr>
                <w:b/>
              </w:rPr>
              <w:t>software</w:t>
            </w:r>
          </w:p>
        </w:tc>
        <w:tc>
          <w:tcPr>
            <w:tcW w:type="auto" w:w="4535"/>
          </w:tcPr>
          <w:p>
            <w:pPr>
              <w:jc w:val="left"/>
            </w:pPr>
            <w:r>
              <w:t>software is de verzameling instructies die bepalen wat een computer uitvoert en is uiteindelijk wat de gebruiker ziet, ervaart en waarmee hij interacteert</w:t>
            </w:r>
          </w:p>
        </w:tc>
      </w:tr>
      <w:tr>
        <w:tc>
          <w:tcPr>
            <w:tcW w:type="auto" w:w="4535"/>
          </w:tcPr>
          <w:p>
            <w:pPr>
              <w:jc w:val="left"/>
            </w:pPr>
            <w:r>
              <w:rPr>
                <w:b/>
              </w:rPr>
              <w:t>softwareontwikkeling</w:t>
            </w:r>
          </w:p>
        </w:tc>
        <w:tc>
          <w:tcPr>
            <w:tcW w:type="auto" w:w="4535"/>
          </w:tcPr>
          <w:p>
            <w:pPr>
              <w:jc w:val="left"/>
            </w:pPr>
            <w:r>
              <w:t xml:space="preserve">een activiteit die nieuwe </w:t>
            </w:r>
            <w:r>
              <w:rPr>
                <w:b/>
              </w:rPr>
              <w:t>software</w:t>
            </w:r>
            <w:r>
              <w:t xml:space="preserve"> maakt en/of bestaande software aanpast</w:t>
            </w:r>
          </w:p>
        </w:tc>
      </w:tr>
      <w:tr>
        <w:tc>
          <w:tcPr>
            <w:tcW w:type="auto" w:w="4535"/>
          </w:tcPr>
          <w:p>
            <w:pPr>
              <w:jc w:val="left"/>
            </w:pPr>
            <w:r>
              <w:rPr>
                <w:b/>
              </w:rPr>
              <w:t>softwareontwikkelproject</w:t>
            </w:r>
          </w:p>
        </w:tc>
        <w:tc>
          <w:tcPr>
            <w:tcW w:type="auto" w:w="4535"/>
          </w:tcPr>
          <w:p>
            <w:pPr>
              <w:jc w:val="left"/>
            </w:pPr>
            <w:r>
              <w:t xml:space="preserve">een </w:t>
            </w:r>
            <w:r>
              <w:rPr>
                <w:b/>
              </w:rPr>
              <w:t>project</w:t>
            </w:r>
            <w:r>
              <w:t xml:space="preserve"> dat de oplevering van </w:t>
            </w:r>
            <w:r>
              <w:rPr>
                <w:b/>
              </w:rPr>
              <w:t>software</w:t>
            </w:r>
            <w:r>
              <w:t xml:space="preserve"> als enige of voornaamste projectresultaat heeft</w:t>
            </w:r>
          </w:p>
        </w:tc>
      </w:tr>
      <w:tr>
        <w:tc>
          <w:tcPr>
            <w:tcW w:type="auto" w:w="4535"/>
          </w:tcPr>
          <w:p>
            <w:pPr>
              <w:jc w:val="left"/>
            </w:pPr>
            <w:r>
              <w:rPr>
                <w:b/>
              </w:rPr>
              <w:t>solution architectuur</w:t>
            </w:r>
          </w:p>
        </w:tc>
        <w:tc>
          <w:tcPr>
            <w:tcW w:type="auto" w:w="4535"/>
          </w:tcPr>
          <w:p>
            <w:pPr>
              <w:jc w:val="left"/>
            </w:pPr>
            <w:r>
              <w:t xml:space="preserve">beschrijving van de gewenste oplossing van een specifiek probleem, of het eindresultaat van een </w:t>
            </w:r>
            <w:r>
              <w:rPr>
                <w:b/>
              </w:rPr>
              <w:t>project</w:t>
            </w:r>
            <w:r>
              <w:t xml:space="preserve"> [NORA]</w:t>
            </w:r>
          </w:p>
        </w:tc>
      </w:tr>
      <w:tr>
        <w:tc>
          <w:tcPr>
            <w:tcW w:type="auto" w:w="4535"/>
          </w:tcPr>
          <w:p>
            <w:pPr>
              <w:jc w:val="left"/>
            </w:pPr>
            <w:r>
              <w:rPr>
                <w:b/>
              </w:rPr>
              <w:t>technische schuld</w:t>
            </w:r>
          </w:p>
        </w:tc>
        <w:tc>
          <w:tcPr>
            <w:tcW w:type="auto" w:w="4535"/>
          </w:tcPr>
          <w:p>
            <w:pPr>
              <w:jc w:val="left"/>
            </w:pPr>
            <w:r>
              <w:t xml:space="preserve">eigenschappen van de </w:t>
            </w:r>
            <w:r>
              <w:rPr>
                <w:b/>
              </w:rPr>
              <w:t>software</w:t>
            </w:r>
            <w:r>
              <w:t xml:space="preserve"> die de lange-termijninzetbaarheid en onderhoudbaarheid bedreigen</w:t>
            </w:r>
          </w:p>
        </w:tc>
      </w:tr>
      <w:tr>
        <w:tc>
          <w:tcPr>
            <w:tcW w:type="auto" w:w="4535"/>
          </w:tcPr>
          <w:p>
            <w:pPr>
              <w:jc w:val="left"/>
            </w:pPr>
            <w:r>
              <w:rPr>
                <w:b/>
              </w:rPr>
              <w:t>TVA</w:t>
            </w:r>
          </w:p>
        </w:tc>
        <w:tc>
          <w:tcPr>
            <w:tcW w:type="auto" w:w="4535"/>
          </w:tcPr>
          <w:p>
            <w:pPr>
              <w:jc w:val="left"/>
            </w:pPr>
            <w:r>
              <w:t>threat and vulnerability assessment</w:t>
            </w:r>
          </w:p>
        </w:tc>
      </w:tr>
      <w:tr>
        <w:tc>
          <w:tcPr>
            <w:tcW w:type="auto" w:w="4535"/>
          </w:tcPr>
          <w:p>
            <w:pPr>
              <w:jc w:val="left"/>
            </w:pPr>
            <w:r>
              <w:rPr>
                <w:b/>
              </w:rPr>
              <w:t>usability</w:t>
            </w:r>
          </w:p>
        </w:tc>
        <w:tc>
          <w:tcPr>
            <w:tcW w:type="auto" w:w="4535"/>
          </w:tcPr>
          <w:p>
            <w:pPr>
              <w:jc w:val="left"/>
            </w:pPr>
            <w:r>
              <w:t>gebruiksvriendelijkheid</w:t>
            </w:r>
          </w:p>
        </w:tc>
      </w:tr>
      <w:tr>
        <w:tc>
          <w:tcPr>
            <w:tcW w:type="auto" w:w="4535"/>
          </w:tcPr>
          <w:p>
            <w:pPr>
              <w:jc w:val="left"/>
            </w:pPr>
            <w:r>
              <w:rPr>
                <w:b/>
              </w:rPr>
              <w:t>use case</w:t>
            </w:r>
          </w:p>
        </w:tc>
        <w:tc>
          <w:tcPr>
            <w:tcW w:type="auto" w:w="4535"/>
          </w:tcPr>
          <w:p>
            <w:pPr>
              <w:jc w:val="left"/>
            </w:pPr>
            <w:r>
              <w:t xml:space="preserve">een afgebakende eenheid van interactie tussen een </w:t>
            </w:r>
            <w:r>
              <w:rPr>
                <w:b/>
              </w:rPr>
              <w:t>actor</w:t>
            </w:r>
            <w:r>
              <w:t xml:space="preserve"> en het systeem</w:t>
            </w:r>
          </w:p>
        </w:tc>
      </w:tr>
      <w:tr>
        <w:tc>
          <w:tcPr>
            <w:tcW w:type="auto" w:w="4535"/>
          </w:tcPr>
          <w:p>
            <w:pPr>
              <w:jc w:val="left"/>
            </w:pPr>
            <w:r>
              <w:rPr>
                <w:b/>
              </w:rPr>
              <w:t>UX</w:t>
            </w:r>
          </w:p>
        </w:tc>
        <w:tc>
          <w:tcPr>
            <w:tcW w:type="auto" w:w="4535"/>
          </w:tcPr>
          <w:p>
            <w:pPr>
              <w:jc w:val="left"/>
            </w:pPr>
            <w:r>
              <w:t>user experience</w:t>
            </w:r>
          </w:p>
        </w:tc>
      </w:tr>
      <w:tr>
        <w:tc>
          <w:tcPr>
            <w:tcW w:type="auto" w:w="4535"/>
          </w:tcPr>
          <w:p>
            <w:pPr>
              <w:jc w:val="left"/>
            </w:pPr>
            <w:r>
              <w:rPr>
                <w:b/>
              </w:rPr>
              <w:t>VIR</w:t>
            </w:r>
          </w:p>
        </w:tc>
        <w:tc>
          <w:tcPr>
            <w:tcW w:type="auto" w:w="4535"/>
          </w:tcPr>
          <w:p>
            <w:pPr>
              <w:jc w:val="left"/>
            </w:pPr>
            <w:r>
              <w:t>Voorschrift Informatiebeveiliging Rijksdienst</w:t>
            </w:r>
          </w:p>
        </w:tc>
      </w:tr>
      <w:tr>
        <w:tc>
          <w:tcPr>
            <w:tcW w:type="auto" w:w="4535"/>
          </w:tcPr>
          <w:p>
            <w:pPr>
              <w:jc w:val="left"/>
            </w:pPr>
            <w:r>
              <w:rPr>
                <w:b/>
              </w:rPr>
              <w:t>VIRBI</w:t>
            </w:r>
          </w:p>
        </w:tc>
        <w:tc>
          <w:tcPr>
            <w:tcW w:type="auto" w:w="4535"/>
          </w:tcPr>
          <w:p>
            <w:pPr>
              <w:jc w:val="left"/>
            </w:pPr>
            <w:r>
              <w:t>Voorschrift Informatiebeveiliging Rijksdienst Bijzondere Informatie</w:t>
            </w:r>
          </w:p>
        </w:tc>
      </w:tr>
      <w:tr>
        <w:tc>
          <w:tcPr>
            <w:tcW w:type="auto" w:w="4535"/>
          </w:tcPr>
          <w:p>
            <w:pPr>
              <w:jc w:val="left"/>
            </w:pPr>
            <w:r>
              <w:rPr>
                <w:b/>
              </w:rPr>
              <w:t>VM</w:t>
            </w:r>
          </w:p>
        </w:tc>
        <w:tc>
          <w:tcPr>
            <w:tcW w:type="auto" w:w="4535"/>
          </w:tcPr>
          <w:p>
            <w:pPr>
              <w:jc w:val="left"/>
            </w:pPr>
            <w:r>
              <w:t>virtual machine, virtuele machine</w:t>
            </w:r>
          </w:p>
        </w:tc>
      </w:tr>
      <w:tr>
        <w:tc>
          <w:tcPr>
            <w:tcW w:type="auto" w:w="4535"/>
          </w:tcPr>
          <w:p>
            <w:pPr>
              <w:jc w:val="left"/>
            </w:pPr>
            <w:r>
              <w:rPr>
                <w:b/>
              </w:rPr>
              <w:t>voorfase</w:t>
            </w:r>
          </w:p>
        </w:tc>
        <w:tc>
          <w:tcPr>
            <w:tcW w:type="auto" w:w="4535"/>
          </w:tcPr>
          <w:p>
            <w:pPr>
              <w:jc w:val="left"/>
            </w:pPr>
            <w:r>
              <w:t xml:space="preserve">fase van een </w:t>
            </w:r>
            <w:r>
              <w:rPr>
                <w:b/>
              </w:rPr>
              <w:t>softwareontwikkelproject</w:t>
            </w:r>
            <w:r>
              <w:t xml:space="preserve">, voorafgaande aan de </w:t>
            </w:r>
            <w:r>
              <w:rPr>
                <w:b/>
              </w:rPr>
              <w:t>realisatiefase</w:t>
            </w:r>
            <w:r>
              <w:t>, waarin de uitgangspunten, risico's en randvoorwaarden voor de realisatiefase worden bepaald en waarin wordt gezorgd dat aan de randvoorwaarden wordt voldaan en dat voor zoveel mogelijk risico's maatregelen getroffen zijn</w:t>
            </w:r>
          </w:p>
        </w:tc>
      </w:tr>
      <w:tr>
        <w:tc>
          <w:tcPr>
            <w:tcW w:type="auto" w:w="4535"/>
          </w:tcPr>
          <w:p>
            <w:pPr>
              <w:jc w:val="left"/>
            </w:pPr>
            <w:r>
              <w:rPr>
                <w:b/>
              </w:rPr>
              <w:t>vrijgaveadvies</w:t>
            </w:r>
          </w:p>
        </w:tc>
        <w:tc>
          <w:tcPr>
            <w:tcW w:type="auto" w:w="4535"/>
          </w:tcPr>
          <w:p>
            <w:pPr>
              <w:jc w:val="left"/>
            </w:pPr>
            <w:r>
              <w:t xml:space="preserve">advies om een </w:t>
            </w:r>
            <w:r>
              <w:rPr>
                <w:b/>
              </w:rPr>
              <w:t>release</w:t>
            </w:r>
            <w:r>
              <w:t xml:space="preserve"> vrij te geven voor ingebruikname, met een testverslag dat tenminste alle nog openstaande testbevindingen en geconstateerde beveiligingsbevindingen bevat</w:t>
            </w:r>
          </w:p>
        </w:tc>
      </w:tr>
    </w:tbl>
    <w:p>
      <w:pPr>
        <w:pStyle w:val="Kop2Bijlage"/>
      </w:pPr>
      <w:r>
        <w:t>Bronnen</w:t>
      </w:r>
    </w:p>
    <w:p>
      <w:r>
        <w:t>De onderstaande tabel verwijst naar regelmatig gebruikte bronnen.</w:t>
      </w:r>
    </w:p>
    <w:tbl>
      <w:tblPr>
        <w:tblStyle w:val="Tabelraster1"/>
        <w:tblW w:type="pct" w:w="100%"/>
        <w:tblLook w:firstColumn="1" w:firstRow="1" w:lastColumn="0" w:lastRow="0" w:noHBand="0" w:noVBand="1" w:val="04A0"/>
      </w:tblPr>
      <w:tblGrid>
        <w:gridCol w:w="4535"/>
        <w:gridCol w:w="4535"/>
      </w:tblGrid>
      <w:tr>
        <w:tc>
          <w:tcPr>
            <w:tcW w:type="auto" w:w="4535"/>
          </w:tcPr>
          <w:p>
            <w:pPr>
              <w:jc w:val="left"/>
            </w:pPr>
            <w:r>
              <w:t>Bron</w:t>
            </w:r>
          </w:p>
        </w:tc>
        <w:tc>
          <w:tcPr>
            <w:tcW w:type="auto" w:w="4535"/>
          </w:tcPr>
          <w:p>
            <w:pPr>
              <w:jc w:val="left"/>
            </w:pPr>
            <w:r>
              <w:t>Toelichting</w:t>
            </w:r>
          </w:p>
        </w:tc>
      </w:tr>
      <w:tr>
        <w:tc>
          <w:tcPr>
            <w:tcW w:type="auto" w:w="4535"/>
          </w:tcPr>
          <w:p>
            <w:pPr>
              <w:jc w:val="left"/>
            </w:pPr>
            <w:hyperlink r:id="rId14">
              <w:r>
                <w:rPr>
                  <w:rStyle w:val="Hyperlink"/>
                </w:rPr>
                <w:t>BIO</w:t>
              </w:r>
            </w:hyperlink>
          </w:p>
        </w:tc>
        <w:tc>
          <w:tcPr>
            <w:tcW w:type="auto" w:w="4535"/>
          </w:tcPr>
          <w:p>
            <w:pPr>
              <w:jc w:val="left"/>
            </w:pPr>
            <w:r>
              <w:t>Baseline Informatiebeveiliging Overheid.</w:t>
            </w:r>
          </w:p>
        </w:tc>
      </w:tr>
      <w:tr>
        <w:tc>
          <w:tcPr>
            <w:tcW w:type="auto" w:w="4535"/>
          </w:tcPr>
          <w:p>
            <w:pPr>
              <w:jc w:val="left"/>
            </w:pPr>
            <w:hyperlink r:id="rId15">
              <w:r>
                <w:rPr>
                  <w:rStyle w:val="Hyperlink"/>
                </w:rPr>
                <w:t>ISO 9241-210:2019</w:t>
              </w:r>
            </w:hyperlink>
          </w:p>
        </w:tc>
        <w:tc>
          <w:tcPr>
            <w:tcW w:type="auto" w:w="4535"/>
          </w:tcPr>
          <w:p>
            <w:pPr>
              <w:jc w:val="left"/>
            </w:pPr>
            <w:r>
              <w:t>Ergonomics of human-system interaction — Part 210: Human-centred design for interactive systems.</w:t>
            </w:r>
          </w:p>
        </w:tc>
      </w:tr>
      <w:tr>
        <w:tc>
          <w:tcPr>
            <w:tcW w:type="auto" w:w="4535"/>
          </w:tcPr>
          <w:p>
            <w:pPr>
              <w:jc w:val="left"/>
            </w:pPr>
            <w:hyperlink r:id="rId16">
              <w:r>
                <w:rPr>
                  <w:rStyle w:val="Hyperlink"/>
                </w:rPr>
                <w:t>NCSC ICT-beveiligingsrichtlijnen voor webapplicaties</w:t>
              </w:r>
            </w:hyperlink>
          </w:p>
        </w:tc>
        <w:tc>
          <w:tcPr>
            <w:tcW w:type="auto" w:w="4535"/>
          </w:tcPr>
          <w:p>
            <w:pPr>
              <w:jc w:val="left"/>
            </w:pPr>
            <w:r>
              <w:t>De ICT-beveiligingsrichtlijnen voor webapplicaties geven een leidraad voor veiliger ontwikkelen, beheren en aanbieden van webapplicaties en bijbehorende infrastructuur.</w:t>
            </w:r>
          </w:p>
        </w:tc>
      </w:tr>
      <w:tr>
        <w:tc>
          <w:tcPr>
            <w:tcW w:type="auto" w:w="4535"/>
          </w:tcPr>
          <w:p>
            <w:pPr>
              <w:jc w:val="left"/>
            </w:pPr>
            <w:hyperlink r:id="rId17">
              <w:r>
                <w:rPr>
                  <w:rStyle w:val="Hyperlink"/>
                </w:rPr>
                <w:t>NEN-ISO/IEC 25010:2011</w:t>
              </w:r>
            </w:hyperlink>
          </w:p>
        </w:tc>
        <w:tc>
          <w:tcPr>
            <w:tcW w:type="auto" w:w="4535"/>
          </w:tcPr>
          <w:p>
            <w:pPr>
              <w:jc w:val="left"/>
            </w:pPr>
            <w:r>
              <w:t>Systems and software engineering - Systems and software Quality Requirements and Evaluation (SQuaRE) - System and software quality models.</w:t>
            </w:r>
          </w:p>
        </w:tc>
      </w:tr>
      <w:tr>
        <w:tc>
          <w:tcPr>
            <w:tcW w:type="auto" w:w="4535"/>
          </w:tcPr>
          <w:p>
            <w:pPr>
              <w:jc w:val="left"/>
            </w:pPr>
            <w:hyperlink r:id="rId18">
              <w:r>
                <w:rPr>
                  <w:rStyle w:val="Hyperlink"/>
                </w:rPr>
                <w:t>NEN-ISO/IEC 27001:2017</w:t>
              </w:r>
            </w:hyperlink>
          </w:p>
        </w:tc>
        <w:tc>
          <w:tcPr>
            <w:tcW w:type="auto" w:w="4535"/>
          </w:tcPr>
          <w:p>
            <w:pPr>
              <w:jc w:val="left"/>
            </w:pPr>
            <w:r>
              <w:t>Informatietechnologie - Beveiligingstechnieken - Managementsystemen voor informatiebeveiliging - Eisen</w:t>
            </w:r>
          </w:p>
        </w:tc>
      </w:tr>
      <w:tr>
        <w:tc>
          <w:tcPr>
            <w:tcW w:type="auto" w:w="4535"/>
          </w:tcPr>
          <w:p>
            <w:pPr>
              <w:jc w:val="left"/>
            </w:pPr>
            <w:hyperlink r:id="rId19">
              <w:r>
                <w:rPr>
                  <w:rStyle w:val="Hyperlink"/>
                </w:rPr>
                <w:t>NEN-ISO/IEC 27002:2017</w:t>
              </w:r>
            </w:hyperlink>
          </w:p>
        </w:tc>
        <w:tc>
          <w:tcPr>
            <w:tcW w:type="auto" w:w="4535"/>
          </w:tcPr>
          <w:p>
            <w:pPr>
              <w:jc w:val="left"/>
            </w:pPr>
            <w:r>
              <w:t>Informatietechnologie - Beveiligingstechnieken - Praktijkrichtlijn met beheersmaatregelen op het gebied van informatiebeveiliging</w:t>
            </w:r>
          </w:p>
        </w:tc>
      </w:tr>
      <w:tr>
        <w:tc>
          <w:tcPr>
            <w:tcW w:type="auto" w:w="4535"/>
          </w:tcPr>
          <w:p>
            <w:pPr>
              <w:jc w:val="left"/>
            </w:pPr>
            <w:hyperlink r:id="rId20">
              <w:r>
                <w:rPr>
                  <w:rStyle w:val="Hyperlink"/>
                </w:rPr>
                <w:t>NEN 7510:2017</w:t>
              </w:r>
            </w:hyperlink>
          </w:p>
        </w:tc>
        <w:tc>
          <w:tcPr>
            <w:tcW w:type="auto" w:w="4535"/>
          </w:tcPr>
          <w:p>
            <w:pPr>
              <w:jc w:val="left"/>
            </w:pPr>
            <w:r>
              <w:t>Informatiebeveiliging in de zorg.</w:t>
            </w:r>
          </w:p>
        </w:tc>
      </w:tr>
      <w:tr>
        <w:tc>
          <w:tcPr>
            <w:tcW w:type="auto" w:w="4535"/>
          </w:tcPr>
          <w:p>
            <w:pPr>
              <w:jc w:val="left"/>
            </w:pPr>
            <w:hyperlink r:id="rId21">
              <w:r>
                <w:rPr>
                  <w:rStyle w:val="Hyperlink"/>
                </w:rPr>
                <w:t>NEN NPR 5325:2017</w:t>
              </w:r>
            </w:hyperlink>
          </w:p>
        </w:tc>
        <w:tc>
          <w:tcPr>
            <w:tcW w:type="auto" w:w="4535"/>
          </w:tcPr>
          <w:p>
            <w:pPr>
              <w:jc w:val="left"/>
            </w:pPr>
            <w:r>
              <w:t>Praktijkrichtlijn voor het overdragen van software.</w:t>
            </w:r>
          </w:p>
        </w:tc>
      </w:tr>
      <w:tr>
        <w:tc>
          <w:tcPr>
            <w:tcW w:type="auto" w:w="4535"/>
          </w:tcPr>
          <w:p>
            <w:pPr>
              <w:jc w:val="left"/>
            </w:pPr>
            <w:hyperlink r:id="rId22">
              <w:r>
                <w:rPr>
                  <w:rStyle w:val="Hyperlink"/>
                </w:rPr>
                <w:t>NEN NPR 5326:2019</w:t>
              </w:r>
            </w:hyperlink>
          </w:p>
        </w:tc>
        <w:tc>
          <w:tcPr>
            <w:tcW w:type="auto" w:w="4535"/>
          </w:tcPr>
          <w:p>
            <w:pPr>
              <w:jc w:val="left"/>
            </w:pPr>
            <w:r>
              <w:t>Praktijkrichtlijn voor risicobeheersing bij softwareontwikkeling.</w:t>
            </w:r>
          </w:p>
        </w:tc>
      </w:tr>
      <w:tr>
        <w:tc>
          <w:tcPr>
            <w:tcW w:type="auto" w:w="4535"/>
          </w:tcPr>
          <w:p>
            <w:pPr>
              <w:jc w:val="left"/>
            </w:pPr>
            <w:hyperlink r:id="rId23">
              <w:r>
                <w:rPr>
                  <w:rStyle w:val="Hyperlink"/>
                </w:rPr>
                <w:t>NORA</w:t>
              </w:r>
            </w:hyperlink>
          </w:p>
        </w:tc>
        <w:tc>
          <w:tcPr>
            <w:tcW w:type="auto" w:w="4535"/>
          </w:tcPr>
          <w:p>
            <w:pPr>
              <w:jc w:val="left"/>
            </w:pPr>
            <w:r>
              <w:t>Referentiearchitectuur voor de Nederlandse Overheid.</w:t>
            </w:r>
          </w:p>
        </w:tc>
      </w:tr>
      <w:tr>
        <w:tc>
          <w:tcPr>
            <w:tcW w:type="auto" w:w="4535"/>
          </w:tcPr>
          <w:p>
            <w:pPr>
              <w:jc w:val="left"/>
            </w:pPr>
            <w:hyperlink r:id="rId24">
              <w:r>
                <w:rPr>
                  <w:rStyle w:val="Hyperlink"/>
                </w:rPr>
                <w:t>OWASP Top-10</w:t>
              </w:r>
            </w:hyperlink>
          </w:p>
        </w:tc>
        <w:tc>
          <w:tcPr>
            <w:tcW w:type="auto" w:w="4535"/>
          </w:tcPr>
          <w:p>
            <w:pPr>
              <w:jc w:val="left"/>
            </w:pPr>
            <w:r>
              <w:t>De OWASP Top-10 is een op consensus gebaseerd overzicht van de meest kritische beveiligingsrisico's voor webapplicaties.</w:t>
            </w:r>
          </w:p>
        </w:tc>
      </w:tr>
      <w:tr>
        <w:tc>
          <w:tcPr>
            <w:tcW w:type="auto" w:w="4535"/>
          </w:tcPr>
          <w:p>
            <w:pPr>
              <w:jc w:val="left"/>
            </w:pPr>
            <w:hyperlink r:id="rId25">
              <w:r>
                <w:rPr>
                  <w:rStyle w:val="Hyperlink"/>
                </w:rPr>
                <w:t>Scrumgids</w:t>
              </w:r>
            </w:hyperlink>
          </w:p>
        </w:tc>
        <w:tc>
          <w:tcPr>
            <w:tcW w:type="auto" w:w="4535"/>
          </w:tcPr>
          <w:p>
            <w:pPr>
              <w:jc w:val="left"/>
            </w:pPr>
            <w:r>
              <w:t>De Scrum Gids - De Definitieve Gids voor Scrum: De Regels van het Spel.</w:t>
            </w:r>
          </w:p>
        </w:tc>
      </w:tr>
      <w:tr>
        <w:tc>
          <w:tcPr>
            <w:tcW w:type="auto" w:w="4535"/>
          </w:tcPr>
          <w:p>
            <w:pPr>
              <w:jc w:val="left"/>
            </w:pPr>
            <w:hyperlink r:id="rId26">
              <w:r>
                <w:rPr>
                  <w:rStyle w:val="Hyperlink"/>
                </w:rPr>
                <w:t>VIR 2007</w:t>
              </w:r>
            </w:hyperlink>
          </w:p>
        </w:tc>
        <w:tc>
          <w:tcPr>
            <w:tcW w:type="auto" w:w="4535"/>
          </w:tcPr>
          <w:p>
            <w:pPr>
              <w:jc w:val="left"/>
            </w:pPr>
            <w:r>
              <w:t>Besluit Voorschrift Informatiebeveiliging Rijksdienst 2007.</w:t>
            </w:r>
          </w:p>
        </w:tc>
      </w:tr>
      <w:tr>
        <w:tc>
          <w:tcPr>
            <w:tcW w:type="auto" w:w="4535"/>
          </w:tcPr>
          <w:p>
            <w:pPr>
              <w:jc w:val="left"/>
            </w:pPr>
            <w:hyperlink r:id="rId27">
              <w:r>
                <w:rPr>
                  <w:rStyle w:val="Hyperlink"/>
                </w:rPr>
                <w:t>VIRBI 2013</w:t>
              </w:r>
            </w:hyperlink>
          </w:p>
        </w:tc>
        <w:tc>
          <w:tcPr>
            <w:tcW w:type="auto" w:w="4535"/>
          </w:tcPr>
          <w:p>
            <w:pPr>
              <w:jc w:val="left"/>
            </w:pPr>
            <w:r>
              <w:t>Besluit Voorschrift Informatiebeveiliging Rijksdienst Bijzondere Informatie 2013.</w:t>
            </w:r>
          </w:p>
        </w:tc>
      </w:tr>
      <w:tr>
        <w:tc>
          <w:tcPr>
            <w:tcW w:type="auto" w:w="4535"/>
          </w:tcPr>
          <w:p>
            <w:pPr>
              <w:jc w:val="left"/>
            </w:pPr>
            <w:hyperlink r:id="rId28">
              <w:r>
                <w:rPr>
                  <w:rStyle w:val="Hyperlink"/>
                </w:rPr>
                <w:t>Wbni 2018</w:t>
              </w:r>
            </w:hyperlink>
          </w:p>
        </w:tc>
        <w:tc>
          <w:tcPr>
            <w:tcW w:type="auto" w:w="4535"/>
          </w:tcPr>
          <w:p>
            <w:pPr>
              <w:jc w:val="left"/>
            </w:pPr>
            <w:r>
              <w:t>Wet Beveiliging Netwerk- en Informatiesystemen. Beschrijft de meldplicht en de zorgplicht die van toepassing zijn op organisaties die vitaal zijn én op digitale dienstverleners.</w:t>
            </w:r>
          </w:p>
        </w:tc>
      </w:tr>
    </w:tbl>
    <w:p>
      <w:pPr>
        <w:pStyle w:val="Kop2Bijlage"/>
      </w:pPr>
      <w:r>
        <w:t>De ICTU Kwaliteitsaanpak Softwareontwikkeling</w:t>
      </w:r>
    </w:p>
    <w:p>
      <w:r>
        <w:t>De overheid is in hoge mate afhankelijk van informatiesystemen voor de uitvoering van haar taken. Veel van die informatiesystemen zijn dusdanig specifiek dat de benodigde software “op maat” gemaakt moet worden. De totstandkoming van op maat gemaakte software is meestal een complex proces, waarin vele belangen en behoeften worden afgewogen en afgezet tegen de mogelijkheden die technologie biedt. Eenmaal operationeel zal een informatiesysteem verantwoord onderhouden moeten worden; behoeften en technologie veranderen in de loop van de tijd.</w:t>
      </w:r>
    </w:p>
    <w:p>
      <w:r>
        <w:t xml:space="preserve">Overheidsprojecten waarin software wordt ontwikkeld of onderhouden kampen nog vaak met vertraging, budgetoverschrijding of een eindresultaat met te lage kwaliteit. Zo concludeerde de commissie-Elias in haar </w:t>
      </w:r>
      <w:hyperlink r:id="rId29">
        <w:r>
          <w:rPr>
            <w:rStyle w:val="Hyperlink"/>
          </w:rPr>
          <w:t>eindrapport</w:t>
        </w:r>
      </w:hyperlink>
      <w:r>
        <w:t>: "De Rijksoverheid heeft haar ICT (Informatie- en communicatietechnologie)-projecten niet onder controle". Eén van de fundamentele problemen is dat de risico's, die inherent zijn aan softwareontwikkeling, door organisaties nog onvoldoende worden herkend, erkend en gemitigeerd. Dit terwijl de risico's bij de ontwikkeling van software, binnen het ICT-domein, algemeen bekend zijn en er ook voor veel risico's passende maatregelen bestaan.</w:t>
      </w:r>
    </w:p>
    <w:p>
      <w:r>
        <w:t>ICTU heeft jarenlange ervaring met het realiseren van software en past de opgedane ervaring toe bij de ontwikkeling van nieuwe software. Die ervaring is vastgelegd in een werkwijze, deze “ICTU Kwaliteitsaanpak Softwareontwikkeling”, die telkens wordt aangepast en aangevuld op basis van de praktijk.</w:t>
      </w:r>
    </w:p>
    <w:p>
      <w:r>
        <w:t>ICTU is ervan overtuigd dat het bouwen van duurzame software, die goed aansluit bij de behoeften van gebruikers en andere belanghebbenden, bijdraagt aan betere informatiesystemen en een betere dienstverlening door de overheid. Dienstverlening die betrouwbaar moet zijn voor burgers, bedrijven en ambtenaren. Om samen met opdrachtgevende organisaties passende oplossingen te realiseren ontwikkelt ICTU daarom software volgens een agile proces. En om de duurzaamheid en betrouwbaarheid te bevorderen besteedt ICTU standaard aandacht aan beveiliging, privacy, performance, gebruikskwaliteit en toegankelijkheid. De Kwaliteitsaanpak dient daarvoor als leidraad, maar de aanpak voorziet ook in mogelijkheden om het project en het eindproduct aan te passen aan de specifieke situatie.</w:t>
      </w:r>
    </w:p>
    <w:p>
      <w:r>
        <w:t>Om projecten, die software realiseren volgens de Kwaliteitsaanpak, efficiënt en effectief te ondersteunen, heeft ICTU twee gespecialiseerde afdelingen in het leven geroepen. Deze afdelingen staan projecten bij door middel van kennis, menskracht en technische hulpmiddelen. Zo profiteren projecten van schaalgrootte en hergebruik van inzichten.</w:t>
      </w:r>
    </w:p>
    <w:p>
      <w:r>
        <w:t xml:space="preserve">Met behulp van de ICTU Kwaliteitsaanpak Softwareontwikkeling heeft ICTU samen met andere overheden inmiddels enige tientallen projecten succesvol uitgevoerd. ICTU wil deze aanpak graag aanvullen met de ervaringen en geleerde lessen van andere organisaties en deze overdraagbaar maken en breder uitdragen. Om die reden stelt ICTU deze Kwaliteitsaanpak aan iedereen beschikbaar via </w:t>
      </w:r>
      <w:hyperlink r:id="rId30">
        <w:r>
          <w:rPr>
            <w:rStyle w:val="Hyperlink"/>
          </w:rPr>
          <w:t>https://www.ictu.nl/kwaliteitsaanpak</w:t>
        </w:r>
      </w:hyperlink>
      <w:r>
        <w:t xml:space="preserve"> en heeft zij, samen met normalisatie-instituut NEN en partijen uit overheid en markt, een praktijkrichtlijn “Risicobeheersing bij ontwikkeling en onderhoud van maatwerksoftware” [NEN NPR 5326:2019] gepubliceerd, die mede is gebaseerd op de ICTU Kwaliteitsaanpak Softwareontwikkeling.</w:t>
      </w:r>
    </w:p>
    <w:p>
      <w:r>
        <w:t>De ICTU Kwaliteitsaanpak Softwareontwikkeling heeft drie doelstellingen:</w:t>
      </w:r>
    </w:p>
    <w:p>
      <w:pPr>
        <w:pStyle w:val="Lijstnummering1"/>
        <w:numPr>
          <w:ilvl w:val="0"/>
          <w:numId w:val="17"/>
        </w:numPr>
      </w:pPr>
      <w:r>
        <w:t>Opdrachtgevende organisaties helpen bekende risico's bij softwareontwikkeling, zoals technische schuld, vertraging en defecten, zo veel mogelijk te voorkomen.</w:t>
      </w:r>
    </w:p>
    <w:p>
      <w:pPr>
        <w:pStyle w:val="Lijstnummering1"/>
        <w:numPr>
          <w:ilvl w:val="0"/>
          <w:numId w:val="17"/>
        </w:numPr>
      </w:pPr>
      <w:r>
        <w:t>ICTU helpen om software te ontwikkelen die de missie van ICTU, namelijk bijdragen aan een betere digitale overheid, ondersteunt.</w:t>
      </w:r>
    </w:p>
    <w:p>
      <w:pPr>
        <w:pStyle w:val="Lijstnummering1"/>
        <w:numPr>
          <w:ilvl w:val="0"/>
          <w:numId w:val="17"/>
        </w:numPr>
      </w:pPr>
      <w:r>
        <w:t>De overheid als geheel helpen bij het zo goed mogelijk ontwikkelen van software.</w:t>
      </w:r>
    </w:p>
    <w:p>
      <w:r>
        <w:t>De Kwaliteitsaanpak zelf is geformuleerd in de vorm van maatregelen die elke software-ontwikkelende organisatie kan treffen om risico's van softwareontwikkeling te mitigeren en de kans op succesvolle softwareontwikkelprojecten te vergroten. De maatregelen zijn gebaseerd op geleerde lessen uit de praktijk van ICTU.</w:t>
      </w:r>
    </w:p>
    <w:p>
      <w:r>
        <w:t xml:space="preserve">De Kwaliteitsaanpak is een evoluerende aanpak, gebaseerd op de ervaringen die ICTU continu opdoet in de projecten waarin ICTU samen met opdrachtgevende organisaties maatwerksoftware ontwikkelt en onderhoudt. ICTU hanteert daarbij de vuistregel dat als tenminste 80% van de projecten minstens 80% van de tijd een bepaalde werkwijze hanteren, voor die werkwijze een maatregel in de Kwaliteitsaanpak wordt opgenomen. Maar het kan ook voorkomen dat maatregelen om andere redenen landen in de Kwaliteitsaanpak; denk aan het toegankelijk maken van software dat wettelijk verplicht is. Zie ook de wijzigingsgeschiedenis in </w:t>
      </w:r>
      <w:hyperlink r:id="rId31">
        <w:r>
          <w:rPr>
            <w:rStyle w:val="Hyperlink"/>
          </w:rPr>
          <w:t>PDF-formaat</w:t>
        </w:r>
      </w:hyperlink>
      <w:r>
        <w:t xml:space="preserve"> of </w:t>
      </w:r>
      <w:hyperlink r:id="rId32">
        <w:r>
          <w:rPr>
            <w:rStyle w:val="Hyperlink"/>
          </w:rPr>
          <w:t>HTML-formaat</w:t>
        </w:r>
      </w:hyperlink>
      <w:r>
        <w:t>.</w:t>
      </w:r>
    </w:p>
    <w:p>
      <w:r>
        <w:t xml:space="preserve">De maatregelen vormen het startpunt voor de aanpak van ieder ICTU-softwareproject, waarbij ruimte wordt geboden voor variatie of alternatieve invulling. Bijvoorbeeld stelt de Kwaliteitsaanpak: software wordt minimaal bij iedere grote release of tenminste twee keer per jaar onderworpen aan een beveiligingstest door beveiligingsexperts die ICTU daarvoor inhuurt (zie </w:t>
      </w:r>
      <w:r>
        <w:t>M26: Het project laat de beveiliging van het ontwikkelde product periodiek beoordelen</w:t>
      </w:r>
      <w:r>
        <w:t>). Een alternatief is dat de opdrachtgevende organisatie de verantwoordelijkheid neemt voor het laten uitvoeren van beveiligingstests. Hierover maakt de projectleider nadere afspraken met de opdrachtgever.</w:t>
      </w:r>
    </w:p>
    <w:p>
      <w:r>
        <w:t>De Kwaliteitsaanpak is dus zowel voorschrijvend als beschrijvend. Voorschrijvend omdat ICTU verwacht dat projecten die maatwerksoftware ontwikkelen en onderhouden de aanpak toepassen, en alleen aanpassen als daar een goede reden voor is, en mits dat wettelijk is toegestaan. Tegelijkertijd is de aanpak beschrijvend omdat de meeste maatregelen voortkomen uit de bestaande werkwijzen van de projecten. Zoals blijkt uit de self-assessment die ICTU regelmatig uitvoert op de toepassing van de Kwaliteitsaanpak.</w:t>
      </w:r>
    </w:p>
    <w:sectPr w:rsidR="00342805" w:rsidRPr="00A064EB" w:rsidSect="00BA7771">
      <w:footerReference w:type="default" r:id="rId8"/>
      <w:headerReference w:type="default" r:id="rId11"/>
      <w:pgSz w:w="11906" w:h="16838"/>
      <w:pgMar w:top="1985" w:right="1418" w:bottom="1985"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997967" w14:textId="77777777" w:rsidR="002769B7" w:rsidRDefault="002769B7" w:rsidP="008E4D39">
      <w:pPr>
        <w:spacing w:after="0" w:line="240" w:lineRule="auto"/>
      </w:pPr>
      <w:r>
        <w:separator/>
      </w:r>
    </w:p>
  </w:endnote>
  <w:endnote w:type="continuationSeparator" w:id="0">
    <w:p w14:paraId="1AF8017D" w14:textId="77777777" w:rsidR="002769B7" w:rsidRDefault="002769B7" w:rsidP="008E4D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8108813"/>
      <w:docPartObj>
        <w:docPartGallery w:val="Page Numbers (Bottom of Page)"/>
        <w:docPartUnique/>
      </w:docPartObj>
    </w:sdtPr>
    <w:sdtContent>
      <w:p w14:paraId="22058D86" w14:textId="66EE7FAB" w:rsidR="008E4D39" w:rsidRDefault="008E4D39">
        <w:pPr>
          <w:pStyle w:val="Voettekst"/>
          <w:jc w:val="right"/>
        </w:pPr>
        <w:r>
          <w:fldChar w:fldCharType="begin"/>
        </w:r>
        <w:r>
          <w:instrText>PAGE   \* MERGEFORMAT</w:instrText>
        </w:r>
        <w:r>
          <w:fldChar w:fldCharType="separate"/>
        </w:r>
        <w:r>
          <w:t>2</w:t>
        </w:r>
        <w:r>
          <w:fldChar w:fldCharType="end"/>
        </w:r>
        <w:r w:rsidR="002F3838">
          <w:t>/</w:t>
        </w:r>
        <w:fldSimple w:instr=" NUMPAGES  \* MERGEFORMAT ">
          <w:r w:rsidR="002F3838">
            <w:rPr>
              <w:noProof/>
            </w:rPr>
            <w:t>2</w:t>
          </w:r>
        </w:fldSimple>
      </w:p>
    </w:sdtContent>
  </w:sdt>
  <w:p w14:paraId="621AFE67" w14:textId="4CCD9567" w:rsidR="008E4D39" w:rsidRDefault="00F55F58" w:rsidP="00F55F58">
    <w:pPr>
      <w:pStyle w:val="Voettekst"/>
      <w:tabs>
        <w:tab w:val="clear" w:pos="4536"/>
        <w:tab w:val="clear" w:pos="9072"/>
        <w:tab w:val="left" w:pos="3702"/>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A853A8" w14:textId="77777777" w:rsidR="002769B7" w:rsidRDefault="002769B7" w:rsidP="008E4D39">
      <w:pPr>
        <w:spacing w:after="0" w:line="240" w:lineRule="auto"/>
      </w:pPr>
      <w:r>
        <w:separator/>
      </w:r>
    </w:p>
  </w:footnote>
  <w:footnote w:type="continuationSeparator" w:id="0">
    <w:p w14:paraId="361E80FE" w14:textId="77777777" w:rsidR="002769B7" w:rsidRDefault="002769B7" w:rsidP="008E4D39">
      <w:pPr>
        <w:spacing w:after="0" w:line="240" w:lineRule="auto"/>
      </w:pPr>
      <w:r>
        <w:continuationSeparator/>
      </w:r>
    </w:p>
  </w:footnote>
</w:footnotes>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jc w:val="right"/>
    </w:pPr>
    <w:r>
      <w:rPr>
        <w:color w:val="000000"/>
        <w:highlight w:val="yellow"/>
      </w:rPr>
      <w:t>{Documentnaam}</w:t>
    </w:r>
    <w:r>
      <w:t xml:space="preserve"> </w:t>
    </w:r>
    <w:r>
      <w:rPr>
        <w:color w:val="000000"/>
        <w:highlight w:val="yellow"/>
      </w:rPr>
      <w:t>{Projectnaam}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47AD0"/>
    <w:multiLevelType w:val="hybridMultilevel"/>
    <w:tmpl w:val="D3F887EE"/>
    <w:lvl w:ilvl="0" w:tplc="3E2ED4DC">
      <w:start w:val="1"/>
      <w:numFmt w:val="decimal"/>
      <w:pStyle w:val="Lijstnummering1"/>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E2974E6"/>
    <w:multiLevelType w:val="multilevel"/>
    <w:tmpl w:val="0413001D"/>
    <w:styleLink w:val="Huidigelijst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69223A6"/>
    <w:multiLevelType w:val="multilevel"/>
    <w:tmpl w:val="0413001D"/>
    <w:styleLink w:val="Huidigelijst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7414403"/>
    <w:multiLevelType w:val="multilevel"/>
    <w:tmpl w:val="F12E1836"/>
    <w:lvl w:ilvl="0">
      <w:start w:val="1"/>
      <w:numFmt w:val="decimal"/>
      <w:pStyle w:val="Kop1"/>
      <w:lvlText w:val="%1"/>
      <w:lvlJc w:val="left"/>
      <w:pPr>
        <w:ind w:left="432" w:hanging="432"/>
      </w:pPr>
      <w:rPr>
        <w:rFonts w:hint="default"/>
      </w:rPr>
    </w:lvl>
    <w:lvl w:ilvl="1">
      <w:start w:val="1"/>
      <w:numFmt w:val="decimal"/>
      <w:pStyle w:val="Kop2"/>
      <w:lvlText w:val="%1.%2"/>
      <w:lvlJc w:val="left"/>
      <w:pPr>
        <w:ind w:left="576" w:hanging="576"/>
      </w:pPr>
      <w:rPr>
        <w:rFonts w:hint="default"/>
      </w:rPr>
    </w:lvl>
    <w:lvl w:ilvl="2">
      <w:start w:val="1"/>
      <w:numFmt w:val="decimal"/>
      <w:pStyle w:val="Kop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pStyle w:val="Kop7"/>
      <w:lvlText w:val="%1.%2.%3.%4.%5.%6.%7"/>
      <w:lvlJc w:val="left"/>
      <w:pPr>
        <w:ind w:left="1296" w:hanging="1296"/>
      </w:pPr>
      <w:rPr>
        <w:rFonts w:hint="default"/>
      </w:rPr>
    </w:lvl>
    <w:lvl w:ilvl="7">
      <w:start w:val="1"/>
      <w:numFmt w:val="decimal"/>
      <w:pStyle w:val="Kop8"/>
      <w:lvlText w:val="%1.%2.%3.%4.%5.%6.%7.%8"/>
      <w:lvlJc w:val="left"/>
      <w:pPr>
        <w:ind w:left="1440" w:hanging="1440"/>
      </w:pPr>
      <w:rPr>
        <w:rFonts w:hint="default"/>
      </w:rPr>
    </w:lvl>
    <w:lvl w:ilvl="8">
      <w:start w:val="1"/>
      <w:numFmt w:val="decimal"/>
      <w:pStyle w:val="Kop9"/>
      <w:lvlText w:val="%1.%2.%3.%4.%5.%6.%7.%8.%9"/>
      <w:lvlJc w:val="left"/>
      <w:pPr>
        <w:ind w:left="1584" w:hanging="1584"/>
      </w:pPr>
      <w:rPr>
        <w:rFonts w:hint="default"/>
      </w:rPr>
    </w:lvl>
  </w:abstractNum>
  <w:abstractNum w:abstractNumId="4" w15:restartNumberingAfterBreak="0">
    <w:nsid w:val="1F996A61"/>
    <w:multiLevelType w:val="multilevel"/>
    <w:tmpl w:val="0413001D"/>
    <w:styleLink w:val="Huidigelijst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1590C63"/>
    <w:multiLevelType w:val="hybridMultilevel"/>
    <w:tmpl w:val="D0A00E12"/>
    <w:lvl w:ilvl="0" w:tplc="5ED45EA4">
      <w:start w:val="1"/>
      <w:numFmt w:val="decimal"/>
      <w:pStyle w:val="Kop3Bijlage"/>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27965DF7"/>
    <w:multiLevelType w:val="multilevel"/>
    <w:tmpl w:val="F8D47B6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Kop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2DEE4D96"/>
    <w:multiLevelType w:val="multilevel"/>
    <w:tmpl w:val="0413001D"/>
    <w:styleLink w:val="Huidigelij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4BD85229"/>
    <w:multiLevelType w:val="multilevel"/>
    <w:tmpl w:val="04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53DF4A24"/>
    <w:multiLevelType w:val="hybridMultilevel"/>
    <w:tmpl w:val="C4B4E148"/>
    <w:lvl w:ilvl="0" w:tplc="03726EAA">
      <w:start w:val="1"/>
      <w:numFmt w:val="bullet"/>
      <w:pStyle w:val="Lijstopsomteken1"/>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599D25BF"/>
    <w:multiLevelType w:val="multilevel"/>
    <w:tmpl w:val="0413001D"/>
    <w:styleLink w:val="Huidigelijst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63B14832"/>
    <w:multiLevelType w:val="multilevel"/>
    <w:tmpl w:val="DC925A5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864" w:hanging="864"/>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1008" w:hanging="1008"/>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65466FE6"/>
    <w:multiLevelType w:val="multilevel"/>
    <w:tmpl w:val="545E19F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3.%1"/>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15:restartNumberingAfterBreak="0">
    <w:nsid w:val="67A6292A"/>
    <w:multiLevelType w:val="multilevel"/>
    <w:tmpl w:val="0413001D"/>
    <w:styleLink w:val="Huidigelijst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70216547"/>
    <w:multiLevelType w:val="hybridMultilevel"/>
    <w:tmpl w:val="97868FF8"/>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79922B74"/>
    <w:multiLevelType w:val="hybridMultilevel"/>
    <w:tmpl w:val="060089B0"/>
    <w:lvl w:ilvl="0" w:tplc="B276DD4A">
      <w:start w:val="1"/>
      <w:numFmt w:val="upperLetter"/>
      <w:pStyle w:val="Kop2Bijlage"/>
      <w:lvlText w:val="%1."/>
      <w:lvlJc w:val="left"/>
      <w:pPr>
        <w:ind w:left="36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72574429">
    <w:abstractNumId w:val="14"/>
  </w:num>
  <w:num w:numId="2" w16cid:durableId="1029527392">
    <w:abstractNumId w:val="9"/>
  </w:num>
  <w:num w:numId="3" w16cid:durableId="1832793618">
    <w:abstractNumId w:val="0"/>
  </w:num>
  <w:num w:numId="4" w16cid:durableId="1041319370">
    <w:abstractNumId w:val="11"/>
  </w:num>
  <w:num w:numId="5" w16cid:durableId="129978920">
    <w:abstractNumId w:val="15"/>
  </w:num>
  <w:num w:numId="6" w16cid:durableId="176776525">
    <w:abstractNumId w:val="6"/>
  </w:num>
  <w:num w:numId="7" w16cid:durableId="1666712490">
    <w:abstractNumId w:val="5"/>
  </w:num>
  <w:num w:numId="8" w16cid:durableId="2070028707">
    <w:abstractNumId w:val="8"/>
  </w:num>
  <w:num w:numId="9" w16cid:durableId="567806725">
    <w:abstractNumId w:val="7"/>
  </w:num>
  <w:num w:numId="10" w16cid:durableId="1107314757">
    <w:abstractNumId w:val="12"/>
  </w:num>
  <w:num w:numId="11" w16cid:durableId="562568298">
    <w:abstractNumId w:val="13"/>
  </w:num>
  <w:num w:numId="12" w16cid:durableId="1126315098">
    <w:abstractNumId w:val="10"/>
  </w:num>
  <w:num w:numId="13" w16cid:durableId="140662487">
    <w:abstractNumId w:val="1"/>
  </w:num>
  <w:num w:numId="14" w16cid:durableId="1156068745">
    <w:abstractNumId w:val="4"/>
  </w:num>
  <w:num w:numId="15" w16cid:durableId="1850825399">
    <w:abstractNumId w:val="3"/>
  </w:num>
  <w:num w:numId="16" w16cid:durableId="811605385">
    <w:abstractNumId w:val="2"/>
  </w:num>
  <w:num w:numId="1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87D"/>
    <w:rsid w:val="000153A0"/>
    <w:rsid w:val="00046CF3"/>
    <w:rsid w:val="0008127D"/>
    <w:rsid w:val="000A19D6"/>
    <w:rsid w:val="000E5E74"/>
    <w:rsid w:val="00132C04"/>
    <w:rsid w:val="00166CE4"/>
    <w:rsid w:val="001679A7"/>
    <w:rsid w:val="001A3FDE"/>
    <w:rsid w:val="001D3006"/>
    <w:rsid w:val="00237EAC"/>
    <w:rsid w:val="00247098"/>
    <w:rsid w:val="002769B7"/>
    <w:rsid w:val="00280FF2"/>
    <w:rsid w:val="0029264C"/>
    <w:rsid w:val="002A5A6A"/>
    <w:rsid w:val="002D1DD1"/>
    <w:rsid w:val="002D6B6B"/>
    <w:rsid w:val="002F24C6"/>
    <w:rsid w:val="002F3838"/>
    <w:rsid w:val="00325DD4"/>
    <w:rsid w:val="003262F5"/>
    <w:rsid w:val="003353B0"/>
    <w:rsid w:val="00342805"/>
    <w:rsid w:val="0036587D"/>
    <w:rsid w:val="00365F6B"/>
    <w:rsid w:val="00391E02"/>
    <w:rsid w:val="003C5367"/>
    <w:rsid w:val="004006EF"/>
    <w:rsid w:val="00416BDF"/>
    <w:rsid w:val="00440772"/>
    <w:rsid w:val="004B5077"/>
    <w:rsid w:val="004B66EF"/>
    <w:rsid w:val="004C6BB0"/>
    <w:rsid w:val="004E479F"/>
    <w:rsid w:val="005039B1"/>
    <w:rsid w:val="005135E7"/>
    <w:rsid w:val="005257A4"/>
    <w:rsid w:val="00555963"/>
    <w:rsid w:val="00555C6D"/>
    <w:rsid w:val="005663AA"/>
    <w:rsid w:val="00567CCE"/>
    <w:rsid w:val="005764C5"/>
    <w:rsid w:val="00596F0E"/>
    <w:rsid w:val="005A43A8"/>
    <w:rsid w:val="005B3AEE"/>
    <w:rsid w:val="005E5C25"/>
    <w:rsid w:val="005E6440"/>
    <w:rsid w:val="0068372C"/>
    <w:rsid w:val="00685F93"/>
    <w:rsid w:val="006860D5"/>
    <w:rsid w:val="00692493"/>
    <w:rsid w:val="00696FC1"/>
    <w:rsid w:val="006B122A"/>
    <w:rsid w:val="006E50F8"/>
    <w:rsid w:val="006F197A"/>
    <w:rsid w:val="0071070B"/>
    <w:rsid w:val="00710794"/>
    <w:rsid w:val="00712803"/>
    <w:rsid w:val="007468AD"/>
    <w:rsid w:val="007474C8"/>
    <w:rsid w:val="00767A8F"/>
    <w:rsid w:val="007C1D2D"/>
    <w:rsid w:val="007C2DAD"/>
    <w:rsid w:val="007C59EE"/>
    <w:rsid w:val="007C7474"/>
    <w:rsid w:val="007F6B44"/>
    <w:rsid w:val="00807FB6"/>
    <w:rsid w:val="008301CB"/>
    <w:rsid w:val="0085378F"/>
    <w:rsid w:val="0086103A"/>
    <w:rsid w:val="008A470C"/>
    <w:rsid w:val="008C399D"/>
    <w:rsid w:val="008E4D39"/>
    <w:rsid w:val="0090287A"/>
    <w:rsid w:val="00905A48"/>
    <w:rsid w:val="00907D68"/>
    <w:rsid w:val="00916679"/>
    <w:rsid w:val="009C4A93"/>
    <w:rsid w:val="009D75BC"/>
    <w:rsid w:val="009E4880"/>
    <w:rsid w:val="009F51AD"/>
    <w:rsid w:val="00A064EB"/>
    <w:rsid w:val="00A10686"/>
    <w:rsid w:val="00A43057"/>
    <w:rsid w:val="00A514EB"/>
    <w:rsid w:val="00A56481"/>
    <w:rsid w:val="00A70365"/>
    <w:rsid w:val="00A71D77"/>
    <w:rsid w:val="00A95118"/>
    <w:rsid w:val="00AB220D"/>
    <w:rsid w:val="00AB565D"/>
    <w:rsid w:val="00AE122A"/>
    <w:rsid w:val="00AF0190"/>
    <w:rsid w:val="00AF20B8"/>
    <w:rsid w:val="00AF4DF0"/>
    <w:rsid w:val="00B0625A"/>
    <w:rsid w:val="00B14F69"/>
    <w:rsid w:val="00B61A8F"/>
    <w:rsid w:val="00B71A52"/>
    <w:rsid w:val="00B72040"/>
    <w:rsid w:val="00B737C1"/>
    <w:rsid w:val="00B97FDC"/>
    <w:rsid w:val="00BA4F80"/>
    <w:rsid w:val="00BA7326"/>
    <w:rsid w:val="00BA7771"/>
    <w:rsid w:val="00BD1023"/>
    <w:rsid w:val="00C05C30"/>
    <w:rsid w:val="00C123E4"/>
    <w:rsid w:val="00C15BD9"/>
    <w:rsid w:val="00C32D9A"/>
    <w:rsid w:val="00C41C8C"/>
    <w:rsid w:val="00C421C2"/>
    <w:rsid w:val="00C461BB"/>
    <w:rsid w:val="00C7542C"/>
    <w:rsid w:val="00CA3B2A"/>
    <w:rsid w:val="00CB0D04"/>
    <w:rsid w:val="00CB3BB6"/>
    <w:rsid w:val="00CC4653"/>
    <w:rsid w:val="00CF6EF5"/>
    <w:rsid w:val="00D14800"/>
    <w:rsid w:val="00D16D09"/>
    <w:rsid w:val="00D70065"/>
    <w:rsid w:val="00D71888"/>
    <w:rsid w:val="00DF361D"/>
    <w:rsid w:val="00E5225B"/>
    <w:rsid w:val="00E5292B"/>
    <w:rsid w:val="00E5594F"/>
    <w:rsid w:val="00E5786B"/>
    <w:rsid w:val="00E95745"/>
    <w:rsid w:val="00EC2313"/>
    <w:rsid w:val="00ED66C2"/>
    <w:rsid w:val="00EE285D"/>
    <w:rsid w:val="00EF2556"/>
    <w:rsid w:val="00F17CE7"/>
    <w:rsid w:val="00F311DC"/>
    <w:rsid w:val="00F37D6F"/>
    <w:rsid w:val="00F4048E"/>
    <w:rsid w:val="00F524D8"/>
    <w:rsid w:val="00F55F58"/>
    <w:rsid w:val="00FB0977"/>
    <w:rsid w:val="00FB73A6"/>
    <w:rsid w:val="00FD587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4BDFC7"/>
  <w15:chartTrackingRefBased/>
  <w15:docId w15:val="{3EAA857E-2765-4A21-96A5-746CB1319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474C8"/>
    <w:rPr>
      <w:rFonts w:ascii="Century Gothic" w:hAnsi="Century Gothic"/>
      <w:sz w:val="20"/>
    </w:rPr>
  </w:style>
  <w:style w:type="paragraph" w:styleId="Kop1">
    <w:name w:val="heading 1"/>
    <w:basedOn w:val="Standaard"/>
    <w:next w:val="Standaard"/>
    <w:link w:val="Kop1Char"/>
    <w:uiPriority w:val="9"/>
    <w:qFormat/>
    <w:rsid w:val="00ED66C2"/>
    <w:pPr>
      <w:keepNext/>
      <w:keepLines/>
      <w:pageBreakBefore/>
      <w:numPr>
        <w:numId w:val="15"/>
      </w:numPr>
      <w:spacing w:before="240" w:after="280" w:line="240" w:lineRule="auto"/>
      <w:outlineLvl w:val="0"/>
    </w:pPr>
    <w:rPr>
      <w:rFonts w:eastAsiaTheme="majorEastAsia" w:cstheme="majorBidi"/>
      <w:b/>
      <w:color w:val="2C64AD"/>
      <w:sz w:val="22"/>
      <w:szCs w:val="32"/>
    </w:rPr>
  </w:style>
  <w:style w:type="paragraph" w:styleId="Kop2">
    <w:name w:val="heading 2"/>
    <w:basedOn w:val="Standaard"/>
    <w:next w:val="Standaard"/>
    <w:link w:val="Kop2Char"/>
    <w:uiPriority w:val="9"/>
    <w:unhideWhenUsed/>
    <w:qFormat/>
    <w:rsid w:val="00ED66C2"/>
    <w:pPr>
      <w:keepNext/>
      <w:keepLines/>
      <w:numPr>
        <w:ilvl w:val="1"/>
        <w:numId w:val="15"/>
      </w:numPr>
      <w:spacing w:before="240" w:after="240"/>
      <w:outlineLvl w:val="1"/>
    </w:pPr>
    <w:rPr>
      <w:rFonts w:eastAsiaTheme="majorEastAsia" w:cstheme="majorBidi"/>
      <w:b/>
      <w:color w:val="DB1781"/>
      <w:sz w:val="22"/>
      <w:szCs w:val="26"/>
    </w:rPr>
  </w:style>
  <w:style w:type="paragraph" w:styleId="Kop3">
    <w:name w:val="heading 3"/>
    <w:basedOn w:val="Standaard"/>
    <w:next w:val="Standaard"/>
    <w:link w:val="Kop3Char"/>
    <w:uiPriority w:val="9"/>
    <w:unhideWhenUsed/>
    <w:qFormat/>
    <w:rsid w:val="00ED66C2"/>
    <w:pPr>
      <w:keepNext/>
      <w:keepLines/>
      <w:numPr>
        <w:ilvl w:val="2"/>
        <w:numId w:val="15"/>
      </w:numPr>
      <w:spacing w:before="240" w:after="120"/>
      <w:outlineLvl w:val="2"/>
    </w:pPr>
    <w:rPr>
      <w:rFonts w:eastAsiaTheme="majorEastAsia" w:cstheme="majorBidi"/>
      <w:b/>
      <w:sz w:val="22"/>
      <w:szCs w:val="24"/>
    </w:rPr>
  </w:style>
  <w:style w:type="paragraph" w:styleId="Kop4">
    <w:name w:val="heading 4"/>
    <w:basedOn w:val="Standaard"/>
    <w:next w:val="Standaard"/>
    <w:link w:val="Kop4Char"/>
    <w:uiPriority w:val="9"/>
    <w:unhideWhenUsed/>
    <w:qFormat/>
    <w:rsid w:val="00BA4F80"/>
    <w:pPr>
      <w:keepNext/>
      <w:keepLines/>
      <w:numPr>
        <w:ilvl w:val="3"/>
        <w:numId w:val="6"/>
      </w:numPr>
      <w:spacing w:before="240" w:after="0"/>
      <w:ind w:left="862" w:hanging="862"/>
      <w:outlineLvl w:val="3"/>
    </w:pPr>
    <w:rPr>
      <w:rFonts w:eastAsiaTheme="majorEastAsia" w:cstheme="majorBidi"/>
      <w:b/>
      <w:iCs/>
      <w:color w:val="B500C7"/>
    </w:rPr>
  </w:style>
  <w:style w:type="paragraph" w:styleId="Kop5">
    <w:name w:val="heading 5"/>
    <w:basedOn w:val="Standaard"/>
    <w:next w:val="Standaard"/>
    <w:link w:val="Kop5Char"/>
    <w:uiPriority w:val="9"/>
    <w:unhideWhenUsed/>
    <w:qFormat/>
    <w:rsid w:val="00BA4F80"/>
    <w:pPr>
      <w:keepNext/>
      <w:keepLines/>
      <w:spacing w:before="240" w:after="0"/>
      <w:outlineLvl w:val="4"/>
    </w:pPr>
    <w:rPr>
      <w:rFonts w:eastAsiaTheme="majorEastAsia" w:cstheme="majorBidi"/>
      <w:b/>
    </w:rPr>
  </w:style>
  <w:style w:type="paragraph" w:styleId="Kop6">
    <w:name w:val="heading 6"/>
    <w:basedOn w:val="Kop5"/>
    <w:next w:val="Standaard"/>
    <w:link w:val="Kop6Char"/>
    <w:uiPriority w:val="9"/>
    <w:semiHidden/>
    <w:unhideWhenUsed/>
    <w:qFormat/>
    <w:rsid w:val="00555C6D"/>
    <w:pPr>
      <w:spacing w:before="120"/>
      <w:outlineLvl w:val="5"/>
    </w:pPr>
    <w:rPr>
      <w:b w:val="0"/>
      <w:color w:val="1F3763" w:themeColor="accent1" w:themeShade="7F"/>
    </w:rPr>
  </w:style>
  <w:style w:type="paragraph" w:styleId="Kop7">
    <w:name w:val="heading 7"/>
    <w:basedOn w:val="Standaard"/>
    <w:next w:val="Standaard"/>
    <w:link w:val="Kop7Char"/>
    <w:uiPriority w:val="9"/>
    <w:semiHidden/>
    <w:unhideWhenUsed/>
    <w:qFormat/>
    <w:rsid w:val="00ED66C2"/>
    <w:pPr>
      <w:keepNext/>
      <w:keepLines/>
      <w:numPr>
        <w:ilvl w:val="6"/>
        <w:numId w:val="15"/>
      </w:numPr>
      <w:spacing w:before="40" w:after="0"/>
      <w:outlineLvl w:val="6"/>
    </w:pPr>
    <w:rPr>
      <w:rFonts w:asciiTheme="majorHAnsi" w:eastAsiaTheme="majorEastAsia" w:hAnsiTheme="majorHAnsi" w:cstheme="majorBidi"/>
      <w:i/>
      <w:iCs/>
      <w:color w:val="1F3763" w:themeColor="accent1" w:themeShade="7F"/>
    </w:rPr>
  </w:style>
  <w:style w:type="paragraph" w:styleId="Kop8">
    <w:name w:val="heading 8"/>
    <w:basedOn w:val="Standaard"/>
    <w:next w:val="Standaard"/>
    <w:link w:val="Kop8Char"/>
    <w:uiPriority w:val="9"/>
    <w:semiHidden/>
    <w:unhideWhenUsed/>
    <w:qFormat/>
    <w:rsid w:val="00ED66C2"/>
    <w:pPr>
      <w:keepNext/>
      <w:keepLines/>
      <w:numPr>
        <w:ilvl w:val="7"/>
        <w:numId w:val="15"/>
      </w:numPr>
      <w:spacing w:before="40" w:after="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ED66C2"/>
    <w:pPr>
      <w:keepNext/>
      <w:keepLines/>
      <w:numPr>
        <w:ilvl w:val="8"/>
        <w:numId w:val="1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F20B8"/>
    <w:rPr>
      <w:rFonts w:ascii="Century Gothic" w:eastAsiaTheme="majorEastAsia" w:hAnsi="Century Gothic" w:cstheme="majorBidi"/>
      <w:b/>
      <w:color w:val="2C64AD"/>
      <w:szCs w:val="32"/>
    </w:rPr>
  </w:style>
  <w:style w:type="character" w:customStyle="1" w:styleId="Kop2Char">
    <w:name w:val="Kop 2 Char"/>
    <w:basedOn w:val="Standaardalinea-lettertype"/>
    <w:link w:val="Kop2"/>
    <w:uiPriority w:val="9"/>
    <w:rsid w:val="00280FF2"/>
    <w:rPr>
      <w:rFonts w:ascii="Century Gothic" w:eastAsiaTheme="majorEastAsia" w:hAnsi="Century Gothic" w:cstheme="majorBidi"/>
      <w:b/>
      <w:color w:val="DB1781"/>
      <w:szCs w:val="26"/>
    </w:rPr>
  </w:style>
  <w:style w:type="character" w:customStyle="1" w:styleId="Kop3Char">
    <w:name w:val="Kop 3 Char"/>
    <w:basedOn w:val="Standaardalinea-lettertype"/>
    <w:link w:val="Kop3"/>
    <w:uiPriority w:val="9"/>
    <w:rsid w:val="00BA4F80"/>
    <w:rPr>
      <w:rFonts w:ascii="Century Gothic" w:eastAsiaTheme="majorEastAsia" w:hAnsi="Century Gothic" w:cstheme="majorBidi"/>
      <w:b/>
      <w:szCs w:val="24"/>
    </w:rPr>
  </w:style>
  <w:style w:type="character" w:customStyle="1" w:styleId="Kop4Char">
    <w:name w:val="Kop 4 Char"/>
    <w:basedOn w:val="Standaardalinea-lettertype"/>
    <w:link w:val="Kop4"/>
    <w:uiPriority w:val="9"/>
    <w:rsid w:val="00BA4F80"/>
    <w:rPr>
      <w:rFonts w:ascii="Century Gothic" w:eastAsiaTheme="majorEastAsia" w:hAnsi="Century Gothic" w:cstheme="majorBidi"/>
      <w:b/>
      <w:iCs/>
      <w:color w:val="B500C7"/>
      <w:sz w:val="20"/>
    </w:rPr>
  </w:style>
  <w:style w:type="character" w:customStyle="1" w:styleId="Kop5Char">
    <w:name w:val="Kop 5 Char"/>
    <w:basedOn w:val="Standaardalinea-lettertype"/>
    <w:link w:val="Kop5"/>
    <w:uiPriority w:val="9"/>
    <w:rsid w:val="00BA4F80"/>
    <w:rPr>
      <w:rFonts w:ascii="Century Gothic" w:eastAsiaTheme="majorEastAsia" w:hAnsi="Century Gothic" w:cstheme="majorBidi"/>
      <w:b/>
      <w:sz w:val="20"/>
    </w:rPr>
  </w:style>
  <w:style w:type="paragraph" w:styleId="Lijstalinea">
    <w:name w:val="List Paragraph"/>
    <w:basedOn w:val="Standaard"/>
    <w:uiPriority w:val="34"/>
    <w:qFormat/>
    <w:rsid w:val="000153A0"/>
    <w:pPr>
      <w:ind w:left="720"/>
      <w:contextualSpacing/>
    </w:pPr>
  </w:style>
  <w:style w:type="paragraph" w:customStyle="1" w:styleId="Lijstopsomteken1">
    <w:name w:val="Lijst opsom.teken1"/>
    <w:basedOn w:val="Lijstalinea"/>
    <w:qFormat/>
    <w:rsid w:val="00907D68"/>
    <w:pPr>
      <w:numPr>
        <w:numId w:val="2"/>
      </w:numPr>
    </w:pPr>
    <w:rPr>
      <w:lang w:val="en-US"/>
    </w:rPr>
  </w:style>
  <w:style w:type="paragraph" w:customStyle="1" w:styleId="Lijstnummering1">
    <w:name w:val="Lijstnummering1"/>
    <w:basedOn w:val="Lijstalinea"/>
    <w:qFormat/>
    <w:rsid w:val="00416BDF"/>
    <w:pPr>
      <w:numPr>
        <w:numId w:val="3"/>
      </w:numPr>
    </w:pPr>
    <w:rPr>
      <w:lang w:val="en-US"/>
    </w:rPr>
  </w:style>
  <w:style w:type="table" w:styleId="Tabelraster">
    <w:name w:val="Table Grid"/>
    <w:basedOn w:val="Standaardtabel"/>
    <w:uiPriority w:val="39"/>
    <w:rsid w:val="00C123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
    <w:name w:val="Tabelraster1"/>
    <w:basedOn w:val="Standaardtabel"/>
    <w:uiPriority w:val="99"/>
    <w:rsid w:val="008C399D"/>
    <w:pPr>
      <w:spacing w:after="0" w:line="240" w:lineRule="auto"/>
      <w:ind w:left="57" w:right="57"/>
    </w:pPr>
    <w:tblPr>
      <w:tblCellSpacing w:w="14" w:type="dxa"/>
      <w:tblCellMar>
        <w:top w:w="57" w:type="dxa"/>
        <w:bottom w:w="57" w:type="dxa"/>
      </w:tblCellMar>
    </w:tblPr>
    <w:trPr>
      <w:tblCellSpacing w:w="14" w:type="dxa"/>
    </w:trPr>
    <w:tcPr>
      <w:shd w:val="clear" w:color="auto" w:fill="E6F6FD"/>
    </w:tcPr>
    <w:tblStylePr w:type="firstRow">
      <w:rPr>
        <w:rFonts w:ascii="Calibri" w:hAnsi="Calibri"/>
        <w:b/>
        <w:sz w:val="24"/>
      </w:rPr>
      <w:tblPr/>
      <w:trPr>
        <w:tblHeader/>
      </w:trPr>
      <w:tcPr>
        <w:shd w:val="clear" w:color="auto" w:fill="83D0F5"/>
      </w:tcPr>
    </w:tblStylePr>
    <w:tblStylePr w:type="lastRow">
      <w:tblPr/>
      <w:trPr>
        <w:tblHeader/>
      </w:trPr>
    </w:tblStylePr>
  </w:style>
  <w:style w:type="paragraph" w:styleId="Titel">
    <w:name w:val="Title"/>
    <w:basedOn w:val="Standaard"/>
    <w:next w:val="Standaard"/>
    <w:link w:val="TitelChar"/>
    <w:uiPriority w:val="10"/>
    <w:qFormat/>
    <w:rsid w:val="00FB73A6"/>
    <w:pPr>
      <w:spacing w:before="720" w:after="480" w:line="240" w:lineRule="auto"/>
      <w:contextualSpacing/>
    </w:pPr>
    <w:rPr>
      <w:rFonts w:eastAsiaTheme="majorEastAsia" w:cstheme="majorBidi"/>
      <w:b/>
      <w:color w:val="2C64AD"/>
      <w:spacing w:val="-10"/>
      <w:kern w:val="28"/>
      <w:sz w:val="48"/>
      <w:szCs w:val="56"/>
    </w:rPr>
  </w:style>
  <w:style w:type="character" w:customStyle="1" w:styleId="TitelChar">
    <w:name w:val="Titel Char"/>
    <w:basedOn w:val="Standaardalinea-lettertype"/>
    <w:link w:val="Titel"/>
    <w:uiPriority w:val="10"/>
    <w:rsid w:val="00FB73A6"/>
    <w:rPr>
      <w:rFonts w:ascii="Century Gothic" w:eastAsiaTheme="majorEastAsia" w:hAnsi="Century Gothic" w:cstheme="majorBidi"/>
      <w:b/>
      <w:color w:val="2C64AD"/>
      <w:spacing w:val="-10"/>
      <w:kern w:val="28"/>
      <w:sz w:val="48"/>
      <w:szCs w:val="56"/>
    </w:rPr>
  </w:style>
  <w:style w:type="paragraph" w:customStyle="1" w:styleId="Lijstopsomteken2">
    <w:name w:val="Lijst opsom.teken2"/>
    <w:basedOn w:val="Lijstopsomteken1"/>
    <w:qFormat/>
    <w:rsid w:val="000E5E74"/>
  </w:style>
  <w:style w:type="paragraph" w:customStyle="1" w:styleId="Lijstnummering2">
    <w:name w:val="Lijstnummering2"/>
    <w:basedOn w:val="Lijstnummering1"/>
    <w:qFormat/>
    <w:rsid w:val="000E5E74"/>
  </w:style>
  <w:style w:type="paragraph" w:styleId="Geenafstand">
    <w:name w:val="No Spacing"/>
    <w:uiPriority w:val="1"/>
    <w:qFormat/>
    <w:rsid w:val="00B72040"/>
    <w:pPr>
      <w:spacing w:after="0" w:line="240" w:lineRule="auto"/>
    </w:pPr>
    <w:rPr>
      <w:rFonts w:ascii="Calibri" w:hAnsi="Calibri"/>
      <w:sz w:val="24"/>
    </w:rPr>
  </w:style>
  <w:style w:type="paragraph" w:customStyle="1" w:styleId="Compact">
    <w:name w:val="Compact"/>
    <w:basedOn w:val="Standaard"/>
    <w:qFormat/>
    <w:rsid w:val="007474C8"/>
    <w:pPr>
      <w:spacing w:after="0"/>
    </w:pPr>
  </w:style>
  <w:style w:type="paragraph" w:styleId="Koptekst">
    <w:name w:val="header"/>
    <w:basedOn w:val="Standaard"/>
    <w:link w:val="KoptekstChar"/>
    <w:uiPriority w:val="99"/>
    <w:unhideWhenUsed/>
    <w:rsid w:val="003C5367"/>
    <w:pPr>
      <w:tabs>
        <w:tab w:val="center" w:pos="4536"/>
        <w:tab w:val="right" w:pos="9072"/>
      </w:tabs>
      <w:spacing w:after="0" w:line="240" w:lineRule="auto"/>
      <w:jc w:val="right"/>
    </w:pPr>
  </w:style>
  <w:style w:type="character" w:customStyle="1" w:styleId="KoptekstChar">
    <w:name w:val="Koptekst Char"/>
    <w:basedOn w:val="Standaardalinea-lettertype"/>
    <w:link w:val="Koptekst"/>
    <w:uiPriority w:val="99"/>
    <w:rsid w:val="003C5367"/>
    <w:rPr>
      <w:rFonts w:ascii="Calibri" w:hAnsi="Calibri"/>
      <w:sz w:val="24"/>
    </w:rPr>
  </w:style>
  <w:style w:type="paragraph" w:styleId="Voettekst">
    <w:name w:val="footer"/>
    <w:basedOn w:val="Standaard"/>
    <w:link w:val="VoettekstChar"/>
    <w:uiPriority w:val="99"/>
    <w:unhideWhenUsed/>
    <w:rsid w:val="008E4D3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E4D39"/>
    <w:rPr>
      <w:rFonts w:ascii="Calibri" w:hAnsi="Calibri"/>
      <w:sz w:val="24"/>
    </w:rPr>
  </w:style>
  <w:style w:type="paragraph" w:styleId="Ballontekst">
    <w:name w:val="Balloon Text"/>
    <w:basedOn w:val="Standaard"/>
    <w:link w:val="BallontekstChar"/>
    <w:uiPriority w:val="99"/>
    <w:semiHidden/>
    <w:unhideWhenUsed/>
    <w:rsid w:val="008E4D39"/>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8E4D39"/>
    <w:rPr>
      <w:rFonts w:ascii="Segoe UI" w:hAnsi="Segoe UI" w:cs="Segoe UI"/>
      <w:sz w:val="18"/>
      <w:szCs w:val="18"/>
    </w:rPr>
  </w:style>
  <w:style w:type="character" w:customStyle="1" w:styleId="Kop6Char">
    <w:name w:val="Kop 6 Char"/>
    <w:basedOn w:val="Standaardalinea-lettertype"/>
    <w:link w:val="Kop6"/>
    <w:uiPriority w:val="9"/>
    <w:semiHidden/>
    <w:rsid w:val="00555C6D"/>
    <w:rPr>
      <w:rFonts w:ascii="Century Gothic" w:eastAsiaTheme="majorEastAsia" w:hAnsi="Century Gothic" w:cstheme="majorBidi"/>
      <w:color w:val="1F3763" w:themeColor="accent1" w:themeShade="7F"/>
      <w:sz w:val="20"/>
    </w:rPr>
  </w:style>
  <w:style w:type="character" w:customStyle="1" w:styleId="Kop7Char">
    <w:name w:val="Kop 7 Char"/>
    <w:basedOn w:val="Standaardalinea-lettertype"/>
    <w:link w:val="Kop7"/>
    <w:uiPriority w:val="9"/>
    <w:semiHidden/>
    <w:rsid w:val="002A5A6A"/>
    <w:rPr>
      <w:rFonts w:asciiTheme="majorHAnsi" w:eastAsiaTheme="majorEastAsia" w:hAnsiTheme="majorHAnsi" w:cstheme="majorBidi"/>
      <w:i/>
      <w:iCs/>
      <w:color w:val="1F3763" w:themeColor="accent1" w:themeShade="7F"/>
      <w:sz w:val="24"/>
    </w:rPr>
  </w:style>
  <w:style w:type="character" w:customStyle="1" w:styleId="Kop8Char">
    <w:name w:val="Kop 8 Char"/>
    <w:basedOn w:val="Standaardalinea-lettertype"/>
    <w:link w:val="Kop8"/>
    <w:uiPriority w:val="9"/>
    <w:semiHidden/>
    <w:rsid w:val="002A5A6A"/>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2A5A6A"/>
    <w:rPr>
      <w:rFonts w:asciiTheme="majorHAnsi" w:eastAsiaTheme="majorEastAsia" w:hAnsiTheme="majorHAnsi" w:cstheme="majorBidi"/>
      <w:i/>
      <w:iCs/>
      <w:color w:val="272727" w:themeColor="text1" w:themeTint="D8"/>
      <w:sz w:val="21"/>
      <w:szCs w:val="21"/>
    </w:rPr>
  </w:style>
  <w:style w:type="paragraph" w:customStyle="1" w:styleId="Kop1Bijlage">
    <w:name w:val="Kop 1 Bijlage"/>
    <w:basedOn w:val="Kop1"/>
    <w:link w:val="Kop1BijlageChar"/>
    <w:qFormat/>
    <w:rsid w:val="00EE285D"/>
    <w:pPr>
      <w:numPr>
        <w:numId w:val="0"/>
      </w:numPr>
    </w:pPr>
  </w:style>
  <w:style w:type="paragraph" w:customStyle="1" w:styleId="Kop2Bijlage">
    <w:name w:val="Kop 2 Bijlage"/>
    <w:basedOn w:val="Kop2"/>
    <w:next w:val="Standaard"/>
    <w:link w:val="Kop2BijlageChar"/>
    <w:qFormat/>
    <w:rsid w:val="00EE285D"/>
    <w:pPr>
      <w:numPr>
        <w:ilvl w:val="0"/>
        <w:numId w:val="5"/>
      </w:numPr>
    </w:pPr>
  </w:style>
  <w:style w:type="character" w:customStyle="1" w:styleId="Kop1BijlageChar">
    <w:name w:val="Kop 1 Bijlage Char"/>
    <w:basedOn w:val="Kop1Char"/>
    <w:link w:val="Kop1Bijlage"/>
    <w:rsid w:val="00EE285D"/>
    <w:rPr>
      <w:rFonts w:ascii="Calibri" w:eastAsiaTheme="majorEastAsia" w:hAnsi="Calibri" w:cstheme="majorBidi"/>
      <w:b/>
      <w:color w:val="2C64AD"/>
      <w:sz w:val="72"/>
      <w:szCs w:val="32"/>
    </w:rPr>
  </w:style>
  <w:style w:type="character" w:customStyle="1" w:styleId="Kop2BijlageChar">
    <w:name w:val="Kop 2 Bijlage Char"/>
    <w:basedOn w:val="Kop2Char"/>
    <w:link w:val="Kop2Bijlage"/>
    <w:rsid w:val="00EE285D"/>
    <w:rPr>
      <w:rFonts w:ascii="Calibri" w:eastAsiaTheme="majorEastAsia" w:hAnsi="Calibri" w:cstheme="majorBidi"/>
      <w:b/>
      <w:color w:val="DB1781"/>
      <w:sz w:val="36"/>
      <w:szCs w:val="26"/>
    </w:rPr>
  </w:style>
  <w:style w:type="paragraph" w:customStyle="1" w:styleId="Kop3Bijlage">
    <w:name w:val="Kop 3 Bijlage"/>
    <w:basedOn w:val="Kop3"/>
    <w:next w:val="Standaard"/>
    <w:link w:val="Kop3BijlageChar"/>
    <w:qFormat/>
    <w:rsid w:val="00CB3BB6"/>
    <w:pPr>
      <w:numPr>
        <w:ilvl w:val="0"/>
        <w:numId w:val="7"/>
      </w:numPr>
      <w:ind w:left="357" w:hanging="357"/>
    </w:pPr>
  </w:style>
  <w:style w:type="paragraph" w:customStyle="1" w:styleId="Maatregel">
    <w:name w:val="Maatregel"/>
    <w:basedOn w:val="Standaard"/>
    <w:qFormat/>
    <w:rsid w:val="00CB0D04"/>
    <w:pPr>
      <w:keepLines/>
      <w:pBdr>
        <w:top w:val="single" w:sz="4" w:space="2" w:color="129DDC"/>
        <w:left w:val="single" w:sz="4" w:space="4" w:color="129DDC"/>
        <w:bottom w:val="single" w:sz="4" w:space="2" w:color="129DDC"/>
        <w:right w:val="single" w:sz="4" w:space="4" w:color="129DDC"/>
      </w:pBdr>
      <w:shd w:val="clear" w:color="auto" w:fill="E6F6FD"/>
      <w:ind w:left="113" w:right="113"/>
    </w:pPr>
    <w:rPr>
      <w:color w:val="0B5E83"/>
    </w:rPr>
  </w:style>
  <w:style w:type="character" w:customStyle="1" w:styleId="Kop3BijlageChar">
    <w:name w:val="Kop 3 Bijlage Char"/>
    <w:basedOn w:val="Kop3Char"/>
    <w:link w:val="Kop3Bijlage"/>
    <w:rsid w:val="00CB3BB6"/>
    <w:rPr>
      <w:rFonts w:ascii="Century Gothic" w:eastAsiaTheme="majorEastAsia" w:hAnsi="Century Gothic" w:cstheme="majorBidi"/>
      <w:b/>
      <w:szCs w:val="24"/>
    </w:rPr>
  </w:style>
  <w:style w:type="character" w:customStyle="1" w:styleId="Instructie">
    <w:name w:val="Instructie"/>
    <w:basedOn w:val="Standaardalinea-lettertype"/>
    <w:uiPriority w:val="1"/>
    <w:qFormat/>
    <w:rsid w:val="00D70065"/>
    <w:rPr>
      <w:bdr w:val="none" w:sz="0" w:space="0" w:color="auto"/>
      <w:shd w:val="clear" w:color="auto" w:fill="FFFF00"/>
    </w:rPr>
  </w:style>
  <w:style w:type="paragraph" w:styleId="Kopvaninhoudsopgave">
    <w:name w:val="TOC Heading"/>
    <w:basedOn w:val="Kop1"/>
    <w:next w:val="Standaard"/>
    <w:uiPriority w:val="39"/>
    <w:unhideWhenUsed/>
    <w:qFormat/>
    <w:rsid w:val="00E95745"/>
    <w:pPr>
      <w:pageBreakBefore w:val="0"/>
      <w:numPr>
        <w:numId w:val="0"/>
      </w:numPr>
      <w:spacing w:after="0" w:line="259" w:lineRule="auto"/>
      <w:outlineLvl w:val="9"/>
    </w:pPr>
    <w:rPr>
      <w:color w:val="2F5496" w:themeColor="accent1" w:themeShade="BF"/>
      <w:sz w:val="36"/>
      <w:lang w:eastAsia="nl-NL"/>
    </w:rPr>
  </w:style>
  <w:style w:type="paragraph" w:styleId="Inhopg1">
    <w:name w:val="toc 1"/>
    <w:basedOn w:val="Standaard"/>
    <w:next w:val="Standaard"/>
    <w:autoRedefine/>
    <w:uiPriority w:val="39"/>
    <w:unhideWhenUsed/>
    <w:rsid w:val="00046CF3"/>
    <w:pPr>
      <w:spacing w:after="100"/>
    </w:pPr>
  </w:style>
  <w:style w:type="paragraph" w:styleId="Inhopg2">
    <w:name w:val="toc 2"/>
    <w:basedOn w:val="Standaard"/>
    <w:next w:val="Standaard"/>
    <w:autoRedefine/>
    <w:uiPriority w:val="39"/>
    <w:unhideWhenUsed/>
    <w:rsid w:val="00046CF3"/>
    <w:pPr>
      <w:spacing w:after="100"/>
      <w:ind w:left="240"/>
    </w:pPr>
  </w:style>
  <w:style w:type="paragraph" w:styleId="Inhopg3">
    <w:name w:val="toc 3"/>
    <w:basedOn w:val="Standaard"/>
    <w:next w:val="Standaard"/>
    <w:autoRedefine/>
    <w:uiPriority w:val="39"/>
    <w:unhideWhenUsed/>
    <w:rsid w:val="00046CF3"/>
    <w:pPr>
      <w:spacing w:after="100"/>
      <w:ind w:left="480"/>
    </w:pPr>
  </w:style>
  <w:style w:type="character" w:styleId="Hyperlink">
    <w:name w:val="Hyperlink"/>
    <w:basedOn w:val="Standaardalinea-lettertype"/>
    <w:uiPriority w:val="99"/>
    <w:unhideWhenUsed/>
    <w:rsid w:val="00046CF3"/>
    <w:rPr>
      <w:color w:val="0563C1" w:themeColor="hyperlink"/>
      <w:u w:val="single"/>
    </w:rPr>
  </w:style>
  <w:style w:type="paragraph" w:customStyle="1" w:styleId="Kopinhoudsopgave1">
    <w:name w:val="Kop inhoudsopgave 1"/>
    <w:basedOn w:val="Kopvaninhoudsopgave"/>
    <w:next w:val="Standaard"/>
    <w:qFormat/>
    <w:rsid w:val="00E95745"/>
  </w:style>
  <w:style w:type="character" w:styleId="Tekstvantijdelijkeaanduiding">
    <w:name w:val="Placeholder Text"/>
    <w:basedOn w:val="Standaardalinea-lettertype"/>
    <w:uiPriority w:val="99"/>
    <w:semiHidden/>
    <w:rsid w:val="002F3838"/>
    <w:rPr>
      <w:color w:val="808080"/>
    </w:rPr>
  </w:style>
  <w:style w:type="paragraph" w:customStyle="1" w:styleId="Kop4Bijlage">
    <w:name w:val="Kop 4 Bijlage"/>
    <w:basedOn w:val="Kop4"/>
    <w:next w:val="Standaard"/>
    <w:link w:val="Kop4BijlageChar"/>
    <w:qFormat/>
    <w:rsid w:val="00905A48"/>
    <w:pPr>
      <w:numPr>
        <w:ilvl w:val="0"/>
        <w:numId w:val="0"/>
      </w:numPr>
    </w:pPr>
  </w:style>
  <w:style w:type="numbering" w:customStyle="1" w:styleId="Huidigelijst1">
    <w:name w:val="Huidige lijst1"/>
    <w:uiPriority w:val="99"/>
    <w:rsid w:val="00696FC1"/>
    <w:pPr>
      <w:numPr>
        <w:numId w:val="9"/>
      </w:numPr>
    </w:pPr>
  </w:style>
  <w:style w:type="numbering" w:customStyle="1" w:styleId="Huidigelijst2">
    <w:name w:val="Huidige lijst2"/>
    <w:uiPriority w:val="99"/>
    <w:rsid w:val="00696FC1"/>
    <w:pPr>
      <w:numPr>
        <w:numId w:val="11"/>
      </w:numPr>
    </w:pPr>
  </w:style>
  <w:style w:type="numbering" w:customStyle="1" w:styleId="Huidigelijst3">
    <w:name w:val="Huidige lijst3"/>
    <w:uiPriority w:val="99"/>
    <w:rsid w:val="00696FC1"/>
    <w:pPr>
      <w:numPr>
        <w:numId w:val="12"/>
      </w:numPr>
    </w:pPr>
  </w:style>
  <w:style w:type="numbering" w:customStyle="1" w:styleId="Huidigelijst4">
    <w:name w:val="Huidige lijst4"/>
    <w:uiPriority w:val="99"/>
    <w:rsid w:val="00ED66C2"/>
    <w:pPr>
      <w:numPr>
        <w:numId w:val="13"/>
      </w:numPr>
    </w:pPr>
  </w:style>
  <w:style w:type="numbering" w:customStyle="1" w:styleId="Huidigelijst5">
    <w:name w:val="Huidige lijst5"/>
    <w:uiPriority w:val="99"/>
    <w:rsid w:val="0090287A"/>
    <w:pPr>
      <w:numPr>
        <w:numId w:val="14"/>
      </w:numPr>
    </w:pPr>
  </w:style>
  <w:style w:type="character" w:customStyle="1" w:styleId="Kop4BijlageChar">
    <w:name w:val="Kop 4 Bijlage Char"/>
    <w:basedOn w:val="Kop4Char"/>
    <w:link w:val="Kop4Bijlage"/>
    <w:rsid w:val="0090287A"/>
    <w:rPr>
      <w:rFonts w:ascii="Century Gothic" w:eastAsiaTheme="majorEastAsia" w:hAnsi="Century Gothic" w:cstheme="majorBidi"/>
      <w:b/>
      <w:iCs/>
      <w:color w:val="B500C7"/>
      <w:sz w:val="20"/>
    </w:rPr>
  </w:style>
  <w:style w:type="numbering" w:customStyle="1" w:styleId="Huidigelijst6">
    <w:name w:val="Huidige lijst6"/>
    <w:uiPriority w:val="99"/>
    <w:rsid w:val="00905A48"/>
    <w:pPr>
      <w:numPr>
        <w:numId w:val="1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1" Type="http://schemas.openxmlformats.org/officeDocument/2006/relationships/header" Target="header1.xml"/><Relationship Id="rId12" Type="http://schemas.openxmlformats.org/officeDocument/2006/relationships/hyperlink" Target="https://wetten.overheid.nl/BWBR0033507/2013-06-01#Artikel4" TargetMode="External"/><Relationship Id="rId13" Type="http://schemas.openxmlformats.org/officeDocument/2006/relationships/hyperlink" Target="https://github.com/ICTU/Kwaliteitsaanpak/issues" TargetMode="External"/><Relationship Id="rId14" Type="http://schemas.openxmlformats.org/officeDocument/2006/relationships/hyperlink" Target="https://bio-overheid.nl/media/1572/bio-versie-104zv_def.pdf" TargetMode="External"/><Relationship Id="rId15" Type="http://schemas.openxmlformats.org/officeDocument/2006/relationships/hyperlink" Target="https://www.iso.org/standard/77520.html" TargetMode="External"/><Relationship Id="rId16" Type="http://schemas.openxmlformats.org/officeDocument/2006/relationships/hyperlink" Target="https://www.ncsc.nl/documenten/publicaties/2019/mei/01/ict-beveiligingsrichtlijnen-voor-webapplicaties" TargetMode="External"/><Relationship Id="rId17" Type="http://schemas.openxmlformats.org/officeDocument/2006/relationships/hyperlink" Target="https://www.nen.nl/nen-iso-iec-25010-2011-en-157265" TargetMode="External"/><Relationship Id="rId18" Type="http://schemas.openxmlformats.org/officeDocument/2006/relationships/hyperlink" Target="https://www.nen.nl/nen-en-iso-iec-27001-2017-a11-2020-nl-265545" TargetMode="External"/><Relationship Id="rId19" Type="http://schemas.openxmlformats.org/officeDocument/2006/relationships/hyperlink" Target="https://www.nen.nl/nen-en-iso-iec-27002-2017-nl-245390" TargetMode="External"/><Relationship Id="rId20" Type="http://schemas.openxmlformats.org/officeDocument/2006/relationships/hyperlink" Target="https://www.nen.nl/nen-7510-1-2017-a1-2020-nl-267179" TargetMode="External"/><Relationship Id="rId21" Type="http://schemas.openxmlformats.org/officeDocument/2006/relationships/hyperlink" Target="https://www.nen.nl/npr-5325-2017-nl-238298" TargetMode="External"/><Relationship Id="rId22" Type="http://schemas.openxmlformats.org/officeDocument/2006/relationships/hyperlink" Target="https://www.nen.nl/npr-5326-2019-nl-262885" TargetMode="External"/><Relationship Id="rId23" Type="http://schemas.openxmlformats.org/officeDocument/2006/relationships/hyperlink" Target="https://www.noraonline.nl" TargetMode="External"/><Relationship Id="rId24" Type="http://schemas.openxmlformats.org/officeDocument/2006/relationships/hyperlink" Target="https://owasp.org/www-project-top-ten/" TargetMode="External"/><Relationship Id="rId25" Type="http://schemas.openxmlformats.org/officeDocument/2006/relationships/hyperlink" Target="https://scrumguides.org/docs/scrumguide/v2020/2020-Scrum-Guide-Dutch.pdf" TargetMode="External"/><Relationship Id="rId26" Type="http://schemas.openxmlformats.org/officeDocument/2006/relationships/hyperlink" Target="https://wetten.overheid.nl/BWBR0022141/2007-07-01" TargetMode="External"/><Relationship Id="rId27" Type="http://schemas.openxmlformats.org/officeDocument/2006/relationships/hyperlink" Target="https://wetten.overheid.nl/BWBR0033507/2013-06-01" TargetMode="External"/><Relationship Id="rId28" Type="http://schemas.openxmlformats.org/officeDocument/2006/relationships/hyperlink" Target="https://wetten.overheid.nl/BWBR0041515/2020-07-15" TargetMode="External"/><Relationship Id="rId29" Type="http://schemas.openxmlformats.org/officeDocument/2006/relationships/hyperlink" Target="https://www.tweedekamer.nl/sites/default/files/field_uploads/33326-5-Eindrapport_tcm181-239826.pdf" TargetMode="External"/><Relationship Id="rId30" Type="http://schemas.openxmlformats.org/officeDocument/2006/relationships/hyperlink" Target="https://www.ictu.nl/kwaliteitsaanpak" TargetMode="External"/><Relationship Id="rId31" Type="http://schemas.openxmlformats.org/officeDocument/2006/relationships/hyperlink" Target="https://ictu.github.io/Kwaliteitsaanpak/v4.0.4/ICTU-Kwaliteitsaanpak-Wijzigingsgeschiedenis.pdf" TargetMode="External"/><Relationship Id="rId32" Type="http://schemas.openxmlformats.org/officeDocument/2006/relationships/hyperlink" Target="https://ictu.github.io/Kwaliteitsaanpak/v4.0.4/ICTU-Kwaliteitsaanpak-Wijzigingsgeschiedenis.htm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660B76-ECED-CF44-B35B-64D5331AF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0</Characters>
  <Application>Microsoft Office Word</Application>
  <DocSecurity>0</DocSecurity>
  <Lines>0</Lines>
  <Paragraphs>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van Elswijk</dc:creator>
  <cp:keywords/>
  <dc:description/>
  <cp:lastModifiedBy>Frank Niessink</cp:lastModifiedBy>
  <cp:revision>3</cp:revision>
  <dcterms:created xsi:type="dcterms:W3CDTF">2023-02-06T22:25:00Z</dcterms:created>
  <dcterms:modified xsi:type="dcterms:W3CDTF">2023-02-06T22:27:00Z</dcterms:modified>
</cp:coreProperties>
</file>